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FA3" w:rsidRDefault="00083885">
      <w:pPr>
        <w:spacing w:line="320" w:lineRule="exact"/>
        <w:rPr>
          <w:rFonts w:ascii="Times New Roman" w:eastAsia="新宋体" w:hAnsi="Times New Roman"/>
          <w:color w:val="000000" w:themeColor="text1"/>
          <w:sz w:val="24"/>
        </w:rPr>
      </w:pPr>
      <w:r>
        <w:rPr>
          <w:rFonts w:ascii="Times New Roman" w:eastAsia="新宋体" w:hAnsi="Times New Roman"/>
          <w:color w:val="000000" w:themeColor="text1"/>
          <w:sz w:val="24"/>
        </w:rPr>
        <w:t>附件</w:t>
      </w:r>
      <w:r>
        <w:rPr>
          <w:rFonts w:ascii="Times New Roman" w:eastAsia="新宋体" w:hAnsi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/>
          <w:color w:val="000000" w:themeColor="text1"/>
          <w:sz w:val="24"/>
        </w:rPr>
        <w:t>：</w:t>
      </w:r>
    </w:p>
    <w:p w:rsidR="004C4FA3" w:rsidRDefault="00083885">
      <w:pPr>
        <w:pStyle w:val="a3"/>
        <w:spacing w:after="0" w:line="360" w:lineRule="auto"/>
        <w:jc w:val="center"/>
        <w:rPr>
          <w:rFonts w:ascii="Times New Roman" w:eastAsia="方正大黑简体" w:hAnsi="Times New Roman"/>
          <w:color w:val="000000" w:themeColor="text1"/>
          <w:sz w:val="28"/>
          <w:szCs w:val="28"/>
        </w:rPr>
      </w:pP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黄冈师范学院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方正大黑简体" w:hAnsi="Times New Roman" w:hint="eastAsia"/>
          <w:color w:val="000000" w:themeColor="text1"/>
          <w:sz w:val="28"/>
          <w:szCs w:val="28"/>
        </w:rPr>
        <w:t>9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年普通专升</w:t>
      </w:r>
      <w:proofErr w:type="gramStart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本考试</w:t>
      </w:r>
      <w:proofErr w:type="gramEnd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大纲</w:t>
      </w:r>
    </w:p>
    <w:p w:rsidR="004C4FA3" w:rsidRDefault="004C4FA3">
      <w:pPr>
        <w:rPr>
          <w:rFonts w:ascii="Times New Roman" w:hAnsi="Times New Roman"/>
          <w:color w:val="000000" w:themeColor="text1"/>
          <w:szCs w:val="21"/>
        </w:rPr>
      </w:pPr>
    </w:p>
    <w:p w:rsidR="004C4FA3" w:rsidRDefault="00083885">
      <w:pPr>
        <w:spacing w:line="320" w:lineRule="exact"/>
        <w:rPr>
          <w:rFonts w:ascii="Times New Roman" w:eastAsia="黑体" w:hAnsi="Times New Roman"/>
          <w:b/>
          <w:color w:val="000000" w:themeColor="text1"/>
          <w:szCs w:val="21"/>
        </w:rPr>
      </w:pPr>
      <w:r>
        <w:rPr>
          <w:rFonts w:ascii="Times New Roman" w:eastAsia="黑体" w:hAnsi="Times New Roman" w:hint="eastAsia"/>
          <w:b/>
          <w:color w:val="000000" w:themeColor="text1"/>
          <w:szCs w:val="21"/>
        </w:rPr>
        <w:t>十五</w:t>
      </w:r>
      <w:bookmarkStart w:id="0" w:name="_GoBack"/>
      <w:bookmarkEnd w:id="0"/>
      <w:r>
        <w:rPr>
          <w:rFonts w:ascii="Times New Roman" w:eastAsia="黑体" w:hAnsi="Times New Roman" w:hint="eastAsia"/>
          <w:b/>
          <w:color w:val="000000" w:themeColor="text1"/>
          <w:szCs w:val="21"/>
        </w:rPr>
        <w:t>、</w:t>
      </w:r>
      <w:r>
        <w:rPr>
          <w:rFonts w:ascii="Times New Roman" w:eastAsia="黑体" w:hAnsi="Times New Roman"/>
          <w:b/>
          <w:color w:val="000000" w:themeColor="text1"/>
          <w:szCs w:val="21"/>
        </w:rPr>
        <w:t>音乐学专业《专业综合》考试大纲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课程</w:t>
      </w:r>
      <w:proofErr w:type="gramStart"/>
      <w:r>
        <w:rPr>
          <w:rFonts w:ascii="Times New Roman" w:hAnsi="Times New Roman"/>
          <w:b/>
          <w:color w:val="000000" w:themeColor="text1"/>
          <w:szCs w:val="21"/>
        </w:rPr>
        <w:t>一</w:t>
      </w:r>
      <w:proofErr w:type="gramEnd"/>
      <w:r>
        <w:rPr>
          <w:rFonts w:ascii="Times New Roman" w:hAnsi="Times New Roman"/>
          <w:b/>
          <w:color w:val="000000" w:themeColor="text1"/>
          <w:szCs w:val="21"/>
        </w:rPr>
        <w:t>：音乐专长（声乐、钢琴、器乐</w:t>
      </w:r>
      <w:r>
        <w:rPr>
          <w:rFonts w:ascii="Times New Roman" w:hAnsi="Times New Roman" w:hint="eastAsia"/>
          <w:b/>
          <w:color w:val="000000" w:themeColor="text1"/>
          <w:szCs w:val="21"/>
        </w:rPr>
        <w:t>、</w:t>
      </w:r>
      <w:r>
        <w:rPr>
          <w:rFonts w:ascii="Times New Roman" w:hAnsi="Times New Roman" w:hint="eastAsia"/>
          <w:b/>
          <w:color w:val="000000" w:themeColor="text1"/>
          <w:szCs w:val="21"/>
        </w:rPr>
        <w:t>黄梅戏、舞蹈</w:t>
      </w:r>
      <w:r>
        <w:rPr>
          <w:rFonts w:ascii="Times New Roman" w:hAnsi="Times New Roman"/>
          <w:b/>
          <w:color w:val="000000" w:themeColor="text1"/>
          <w:szCs w:val="21"/>
        </w:rPr>
        <w:t>任选</w:t>
      </w:r>
      <w:proofErr w:type="gramStart"/>
      <w:r>
        <w:rPr>
          <w:rFonts w:ascii="Times New Roman" w:hAnsi="Times New Roman"/>
          <w:b/>
          <w:color w:val="000000" w:themeColor="text1"/>
          <w:szCs w:val="21"/>
        </w:rPr>
        <w:t>一</w:t>
      </w:r>
      <w:proofErr w:type="gramEnd"/>
      <w:r>
        <w:rPr>
          <w:rFonts w:ascii="Times New Roman" w:hAnsi="Times New Roman"/>
          <w:b/>
          <w:color w:val="000000" w:themeColor="text1"/>
          <w:szCs w:val="21"/>
        </w:rPr>
        <w:t>）（</w:t>
      </w:r>
      <w:r>
        <w:rPr>
          <w:rFonts w:ascii="Times New Roman" w:hAnsi="Times New Roman"/>
          <w:b/>
          <w:color w:val="000000" w:themeColor="text1"/>
          <w:szCs w:val="21"/>
        </w:rPr>
        <w:t>100</w:t>
      </w:r>
      <w:r>
        <w:rPr>
          <w:rFonts w:ascii="Times New Roman" w:hAnsi="Times New Roman"/>
          <w:b/>
          <w:color w:val="000000" w:themeColor="text1"/>
          <w:szCs w:val="21"/>
        </w:rPr>
        <w:t>分）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一、现场演唱（或演奏）两首曲目，要求背谱演唱（或演奏）；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二、考试曲目由考生自选。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各门专长具体要求：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声乐：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）完整地演唱考核曲目，自如地胜任作品所具备的音域，能够流畅圆润地演唱作品极限音；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）节奏准确、歌词、旋律熟悉；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）运用呼吸较好地完成低、中声部的统一演唱；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）上下</w:t>
      </w:r>
      <w:proofErr w:type="gramStart"/>
      <w:r>
        <w:rPr>
          <w:rFonts w:ascii="Times New Roman" w:hAnsi="Times New Roman"/>
          <w:color w:val="000000" w:themeColor="text1"/>
          <w:szCs w:val="21"/>
        </w:rPr>
        <w:t>声区较</w:t>
      </w:r>
      <w:proofErr w:type="gramEnd"/>
      <w:r>
        <w:rPr>
          <w:rFonts w:ascii="Times New Roman" w:hAnsi="Times New Roman"/>
          <w:color w:val="000000" w:themeColor="text1"/>
          <w:szCs w:val="21"/>
        </w:rPr>
        <w:t>统一，能够较好的掌握歌唱共鸣；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）掌握准确的歌唱呼吸，具备控制声音音色和力度的能力；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6</w:t>
      </w:r>
      <w:r>
        <w:rPr>
          <w:rFonts w:ascii="Times New Roman" w:hAnsi="Times New Roman"/>
          <w:color w:val="000000" w:themeColor="text1"/>
          <w:szCs w:val="21"/>
        </w:rPr>
        <w:t>）初步掌握多种类型风格的作品，能够完整、准确地表现不同作品内容。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钢琴：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）能够顺利地完成作品中所具备的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的</w:t>
      </w:r>
      <w:proofErr w:type="gramEnd"/>
      <w:r>
        <w:rPr>
          <w:rFonts w:ascii="Times New Roman" w:hAnsi="Times New Roman"/>
          <w:color w:val="000000" w:themeColor="text1"/>
          <w:szCs w:val="21"/>
        </w:rPr>
        <w:t>技巧和难点；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）音色优美、动听，乐句的呼吸分明；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）能够准确地演奏</w:t>
      </w:r>
      <w:proofErr w:type="gramStart"/>
      <w:r>
        <w:rPr>
          <w:rFonts w:ascii="Times New Roman" w:hAnsi="Times New Roman"/>
          <w:color w:val="000000" w:themeColor="text1"/>
          <w:szCs w:val="21"/>
        </w:rPr>
        <w:t>出谱面</w:t>
      </w:r>
      <w:proofErr w:type="gramEnd"/>
      <w:r>
        <w:rPr>
          <w:rFonts w:ascii="Times New Roman" w:hAnsi="Times New Roman"/>
          <w:color w:val="000000" w:themeColor="text1"/>
          <w:szCs w:val="21"/>
        </w:rPr>
        <w:t>上标出的演奏符号和表情记号。如：力度记号、速度记号等；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）能够较准确地表现出不同时期、不同地域、不同风格、不同流派作品的风格和特点。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器乐：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）完整地演奏考核曲目，自如地胜任作品所具备的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的</w:t>
      </w:r>
      <w:proofErr w:type="gramEnd"/>
      <w:r>
        <w:rPr>
          <w:rFonts w:ascii="Times New Roman" w:hAnsi="Times New Roman"/>
          <w:color w:val="000000" w:themeColor="text1"/>
          <w:szCs w:val="21"/>
        </w:rPr>
        <w:t>特点，能够流畅地</w:t>
      </w:r>
      <w:r>
        <w:rPr>
          <w:rFonts w:ascii="Times New Roman" w:hAnsi="Times New Roman"/>
          <w:color w:val="000000" w:themeColor="text1"/>
          <w:szCs w:val="21"/>
        </w:rPr>
        <w:t>完成作品中的难点；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）初步全面地掌握演奏技巧，能较自如地驾驭和把握乐器演奏的音色、音量和力度；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）具有一定的艺术表现能力，能够较准确地把握风格各异的作品，并能声情并茂地进行演奏。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舞蹈：</w:t>
      </w:r>
    </w:p>
    <w:p w:rsidR="004C4FA3" w:rsidRDefault="00083885">
      <w:pPr>
        <w:numPr>
          <w:ilvl w:val="0"/>
          <w:numId w:val="1"/>
        </w:num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能够顺利地完成作品中所具备的</w:t>
      </w:r>
      <w:proofErr w:type="gramStart"/>
      <w:r>
        <w:rPr>
          <w:rFonts w:ascii="Times New Roman" w:hAnsi="Times New Roman"/>
          <w:color w:val="000000" w:themeColor="text1"/>
          <w:szCs w:val="21"/>
        </w:rPr>
        <w:t>的</w:t>
      </w:r>
      <w:proofErr w:type="gramEnd"/>
      <w:r>
        <w:rPr>
          <w:rFonts w:ascii="Times New Roman" w:hAnsi="Times New Roman"/>
          <w:color w:val="000000" w:themeColor="text1"/>
          <w:szCs w:val="21"/>
        </w:rPr>
        <w:t>技巧和难点；</w:t>
      </w:r>
    </w:p>
    <w:p w:rsidR="004C4FA3" w:rsidRDefault="00083885">
      <w:pPr>
        <w:numPr>
          <w:ilvl w:val="0"/>
          <w:numId w:val="1"/>
        </w:num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舞姿优美，动作协调；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hint="eastAsia"/>
          <w:color w:val="000000" w:themeColor="text1"/>
          <w:szCs w:val="21"/>
        </w:rPr>
        <w:t>）准确表达不同作品的艺术风格</w:t>
      </w:r>
    </w:p>
    <w:p w:rsidR="004C4FA3" w:rsidRDefault="00083885">
      <w:p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b/>
          <w:bCs/>
          <w:color w:val="000000" w:themeColor="text1"/>
          <w:szCs w:val="21"/>
        </w:rPr>
        <w:t>黄梅戏</w:t>
      </w:r>
      <w:r>
        <w:rPr>
          <w:rFonts w:ascii="Times New Roman" w:hAnsi="Times New Roman" w:hint="eastAsia"/>
          <w:color w:val="000000" w:themeColor="text1"/>
          <w:szCs w:val="21"/>
        </w:rPr>
        <w:t>：</w:t>
      </w:r>
    </w:p>
    <w:p w:rsidR="004C4FA3" w:rsidRDefault="00083885">
      <w:pPr>
        <w:numPr>
          <w:ilvl w:val="0"/>
          <w:numId w:val="2"/>
        </w:num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完整地演唱黄梅戏唱段或剧目片段，做到语言标准，声音流畅，准确表达唱腔情感；</w:t>
      </w:r>
    </w:p>
    <w:p w:rsidR="004C4FA3" w:rsidRDefault="00083885">
      <w:pPr>
        <w:numPr>
          <w:ilvl w:val="0"/>
          <w:numId w:val="2"/>
        </w:numPr>
        <w:spacing w:line="300" w:lineRule="exact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带表演演唱，较好地塑造人物形象。</w:t>
      </w:r>
    </w:p>
    <w:p w:rsidR="004C4FA3" w:rsidRDefault="004C4FA3">
      <w:pPr>
        <w:spacing w:line="300" w:lineRule="exact"/>
        <w:jc w:val="left"/>
        <w:rPr>
          <w:rFonts w:ascii="Times New Roman" w:hAnsi="Times New Roman"/>
          <w:b/>
          <w:color w:val="000000" w:themeColor="text1"/>
          <w:szCs w:val="21"/>
        </w:rPr>
      </w:pP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课程二：《基础乐理》（</w:t>
      </w:r>
      <w:r>
        <w:rPr>
          <w:rFonts w:ascii="Times New Roman" w:hAnsi="Times New Roman"/>
          <w:b/>
          <w:color w:val="000000" w:themeColor="text1"/>
          <w:szCs w:val="21"/>
        </w:rPr>
        <w:t>100</w:t>
      </w:r>
      <w:r>
        <w:rPr>
          <w:rFonts w:ascii="Times New Roman" w:hAnsi="Times New Roman"/>
          <w:b/>
          <w:color w:val="000000" w:themeColor="text1"/>
          <w:szCs w:val="21"/>
        </w:rPr>
        <w:t>分）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一、课程性质与目的要求</w:t>
      </w:r>
    </w:p>
    <w:p w:rsidR="004C4FA3" w:rsidRDefault="00083885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基本乐理是音乐基础理论课，是音乐专业的核心课程之一。通过教学，使学生掌握基本乐理的各科基本知识，给学生打下良好坚实的专业基础，使之能够顺利地进行后续课程的学习。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本课程要求掌握乐理的基本概念、基本原理和知识技能，初步掌握调式分析的方式方法，并且基本上能够分析传统音乐中的调式、调性现象。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二、使用教材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 xml:space="preserve">　　《基本乐理教程》童忠良编，人民音乐出版社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三、课程内容与考核要求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第一章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/>
          <w:b/>
          <w:color w:val="000000" w:themeColor="text1"/>
          <w:szCs w:val="21"/>
        </w:rPr>
        <w:t>音及音高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第一节，音；第二节，乐音体系；第三节，音的分组；第四节，音域及音区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音的性质、音名、泛音、音级、音组及乐音、噪音等。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第二章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记谱法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第一节，音符与休止符；第二节，五线谱；第三节，音符与休止符的写法；第四节，谱号；第五节，增长音值的补充记号；第六节，变音记号；第七节，省略记号；第八节，演奏法的记号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掌握五线谱及各种记号的规范写法和运用。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第三章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调式总论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第一节，调式、音阶、调、调性；第二节，调式音级及其特性；第三节，多声部音乐中的调式关系；第四节，调式的多样性及其在音乐中的表现意义。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掌握调式、调性、音阶的基本概念。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第四章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以五声音阶为基础的各种调式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第一节，五声调式；第二节，同主音调、五种五声调式的比较；第三节，五声调式音级的特性；第四节，六声调式；第五节，七声调式；第六节，以</w:t>
      </w:r>
      <w:proofErr w:type="gramStart"/>
      <w:r>
        <w:rPr>
          <w:rFonts w:ascii="Times New Roman" w:hAnsi="Times New Roman"/>
          <w:color w:val="000000" w:themeColor="text1"/>
          <w:szCs w:val="21"/>
        </w:rPr>
        <w:t>五声音节</w:t>
      </w:r>
      <w:proofErr w:type="gramEnd"/>
      <w:r>
        <w:rPr>
          <w:rFonts w:ascii="Times New Roman" w:hAnsi="Times New Roman"/>
          <w:color w:val="000000" w:themeColor="text1"/>
          <w:szCs w:val="21"/>
        </w:rPr>
        <w:t>为基础的各种调式、音级的名称和标记；第七节，</w:t>
      </w:r>
      <w:proofErr w:type="gramStart"/>
      <w:r>
        <w:rPr>
          <w:rFonts w:ascii="Times New Roman" w:hAnsi="Times New Roman"/>
          <w:color w:val="000000" w:themeColor="text1"/>
          <w:szCs w:val="21"/>
        </w:rPr>
        <w:t>同宫系统</w:t>
      </w:r>
      <w:proofErr w:type="gramEnd"/>
      <w:r>
        <w:rPr>
          <w:rFonts w:ascii="Times New Roman" w:hAnsi="Times New Roman"/>
          <w:color w:val="000000" w:themeColor="text1"/>
          <w:szCs w:val="21"/>
        </w:rPr>
        <w:t>各调；第八节，包含升号的调、包含降号的调、调的五度循环；第九节，以五声音阶为基础的各种调式的</w:t>
      </w:r>
      <w:r>
        <w:rPr>
          <w:rFonts w:ascii="Times New Roman" w:hAnsi="Times New Roman"/>
          <w:color w:val="000000" w:themeColor="text1"/>
          <w:szCs w:val="21"/>
        </w:rPr>
        <w:t>应用及其表现特性。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调号的意义与写法；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各种民族调式的音阶和结构；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各种民族调式的调式调性分析。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第五章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大调式和小调式：作品中调的明确法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大调式；第二节，小调式；第三节，大小调式音级的标记和名称；第四节，大小调式音级的特性；第五节，大调各调、关系大小调、小调各调；第六节，同主音大小调、大小调的比较；第七节，各类大小调的应用及其表现特性；第八节，特种自然大小调；第九节，作品中调的明确法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各种大小调式的音阶结构；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各种大小调式的音级和特性；</w:t>
      </w:r>
      <w:r>
        <w:rPr>
          <w:rFonts w:ascii="Times New Roman" w:hAnsi="Times New Roman"/>
          <w:color w:val="000000" w:themeColor="text1"/>
          <w:szCs w:val="21"/>
        </w:rPr>
        <w:t>3.</w:t>
      </w:r>
      <w:r>
        <w:rPr>
          <w:rFonts w:ascii="Times New Roman" w:hAnsi="Times New Roman"/>
          <w:color w:val="000000" w:themeColor="text1"/>
          <w:szCs w:val="21"/>
        </w:rPr>
        <w:t>各种大小调式的调式调性分析。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第六章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音程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第一节，音程、旋律音程、和声音程；第二节，音程的级数和</w:t>
      </w:r>
      <w:proofErr w:type="gramStart"/>
      <w:r>
        <w:rPr>
          <w:rFonts w:ascii="Times New Roman" w:hAnsi="Times New Roman"/>
          <w:color w:val="000000" w:themeColor="text1"/>
          <w:szCs w:val="21"/>
        </w:rPr>
        <w:t>音数</w:t>
      </w:r>
      <w:proofErr w:type="gramEnd"/>
      <w:r>
        <w:rPr>
          <w:rFonts w:ascii="Times New Roman" w:hAnsi="Times New Roman"/>
          <w:color w:val="000000" w:themeColor="text1"/>
          <w:szCs w:val="21"/>
        </w:rPr>
        <w:t>；第三节，自然音程和变化音程；第四节，单音程与复音程；第五节，音程的转位；第六节，构成和识别音程的方法；第七节，等音程；第八节，协和音程与</w:t>
      </w:r>
      <w:proofErr w:type="gramStart"/>
      <w:r>
        <w:rPr>
          <w:rFonts w:ascii="Times New Roman" w:hAnsi="Times New Roman"/>
          <w:color w:val="000000" w:themeColor="text1"/>
          <w:szCs w:val="21"/>
        </w:rPr>
        <w:t>不</w:t>
      </w:r>
      <w:proofErr w:type="gramEnd"/>
      <w:r>
        <w:rPr>
          <w:rFonts w:ascii="Times New Roman" w:hAnsi="Times New Roman"/>
          <w:color w:val="000000" w:themeColor="text1"/>
          <w:szCs w:val="21"/>
        </w:rPr>
        <w:t>协和音程；第九节，稳定音程与不稳定音程；第十节，调式中的音程；第十一节，</w:t>
      </w:r>
      <w:proofErr w:type="gramStart"/>
      <w:r>
        <w:rPr>
          <w:rFonts w:ascii="Times New Roman" w:hAnsi="Times New Roman"/>
          <w:color w:val="000000" w:themeColor="text1"/>
          <w:szCs w:val="21"/>
        </w:rPr>
        <w:t>不</w:t>
      </w:r>
      <w:proofErr w:type="gramEnd"/>
      <w:r>
        <w:rPr>
          <w:rFonts w:ascii="Times New Roman" w:hAnsi="Times New Roman"/>
          <w:color w:val="000000" w:themeColor="text1"/>
          <w:szCs w:val="21"/>
        </w:rPr>
        <w:t>协和音程的解决；第十二节，音程在音乐中的应用及其表现特性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各种类型的音程的基本概念。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音程的度数与性质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第七章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和弦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第一节，和弦；第二节，三和弦；第三节，七和弦；第四节，原位和弦及转位和弦；第五节，构成和识别和弦的方法；第六节，等和弦；第七节，调式中的和弦；第八节，和弦的应用及其表现特性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各种类型和弦的概念与构成。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第八章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节奏、节拍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第一节，节奏、节奏型；第二节，节奏划分的特殊形式；第三节，重音、节拍、拍子、小节；第四节，切分音；第五节，单节拍和单拍子、单拍子中的音值组合法；第六节，复节拍和</w:t>
      </w:r>
      <w:proofErr w:type="gramStart"/>
      <w:r>
        <w:rPr>
          <w:rFonts w:ascii="Times New Roman" w:hAnsi="Times New Roman"/>
          <w:color w:val="000000" w:themeColor="text1"/>
          <w:szCs w:val="21"/>
        </w:rPr>
        <w:t>复拍子</w:t>
      </w:r>
      <w:proofErr w:type="gramEnd"/>
      <w:r>
        <w:rPr>
          <w:rFonts w:ascii="Times New Roman" w:hAnsi="Times New Roman"/>
          <w:color w:val="000000" w:themeColor="text1"/>
          <w:szCs w:val="21"/>
        </w:rPr>
        <w:t>、强拍与次强拍、复拍子中的音值组合法；第七节，混合复拍子及混合复拍子、混合复拍子中的音值组合发；第八节，交换节拍和变换拍子；第九节，交错节拍、自由节拍、</w:t>
      </w:r>
      <w:r>
        <w:rPr>
          <w:rFonts w:ascii="Times New Roman" w:hAnsi="Times New Roman"/>
          <w:color w:val="000000" w:themeColor="text1"/>
          <w:szCs w:val="21"/>
        </w:rPr>
        <w:t>1/4</w:t>
      </w:r>
      <w:r>
        <w:rPr>
          <w:rFonts w:ascii="Times New Roman" w:hAnsi="Times New Roman"/>
          <w:color w:val="000000" w:themeColor="text1"/>
          <w:szCs w:val="21"/>
        </w:rPr>
        <w:t>拍子、板眼及板眼符号；第十节，声乐曲中的音值组合法及组合法中的例外情况；第十一节，节奏、节拍在音乐表现中的意义。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1.</w:t>
      </w:r>
      <w:r>
        <w:rPr>
          <w:rFonts w:ascii="Times New Roman" w:hAnsi="Times New Roman"/>
          <w:color w:val="000000" w:themeColor="text1"/>
          <w:szCs w:val="21"/>
        </w:rPr>
        <w:t>节奏、节拍、拍子的概念；</w:t>
      </w:r>
      <w:r>
        <w:rPr>
          <w:rFonts w:ascii="Times New Roman" w:hAnsi="Times New Roman"/>
          <w:color w:val="000000" w:themeColor="text1"/>
          <w:szCs w:val="21"/>
        </w:rPr>
        <w:t>2.</w:t>
      </w:r>
      <w:r>
        <w:rPr>
          <w:rFonts w:ascii="Times New Roman" w:hAnsi="Times New Roman"/>
          <w:color w:val="000000" w:themeColor="text1"/>
          <w:szCs w:val="21"/>
        </w:rPr>
        <w:t>节奏的基本划分与特殊划分；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.</w:t>
      </w:r>
      <w:r>
        <w:rPr>
          <w:rFonts w:ascii="Times New Roman" w:hAnsi="Times New Roman"/>
          <w:color w:val="000000" w:themeColor="text1"/>
          <w:szCs w:val="21"/>
        </w:rPr>
        <w:t>节奏的正确组合。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第九章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音乐的速度与力度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第一节，速度的标记；第二节，速度在音乐表现中的意义；第三节，力度标记；第四节，力度在音乐表现中的意义。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掌握各种速度力度记号及其用法。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第十章，转调及交替调式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第一节，转调的总概念；第二节，转调在音乐表现中的意义；第三节，转调的类别；第四节，调的关系；第五节，交替调式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初步掌握实际作品中的包含转调的各种调式的明确法。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第十一章，调式变音与半音阶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第一节，调式变音；第二节，半音阶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掌握调式变音及半音阶的正确写法。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第十二章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移调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第一节，移调的应用；第二节，移调的方法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掌握各种移调的方法及应用。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第十三章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>装饰音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复习范围：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第一节，倚音；第二节，波音；第三节，回音；第四节，颤音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考核知识点：</w:t>
      </w:r>
    </w:p>
    <w:p w:rsidR="004C4FA3" w:rsidRDefault="00083885">
      <w:pPr>
        <w:spacing w:line="300" w:lineRule="exact"/>
        <w:ind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掌握各种装饰音的写法和应用。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四、考试方式</w:t>
      </w:r>
    </w:p>
    <w:p w:rsidR="004C4FA3" w:rsidRDefault="00083885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闭卷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五、试卷结构及题型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．填空题；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．按要求构音程、和弦；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．写作题；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．分析调式、调性</w:t>
      </w:r>
    </w:p>
    <w:p w:rsidR="004C4FA3" w:rsidRDefault="00083885">
      <w:pPr>
        <w:spacing w:line="300" w:lineRule="exac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六、参考书目</w:t>
      </w:r>
    </w:p>
    <w:p w:rsidR="004C4FA3" w:rsidRDefault="00083885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．《基本乐理教程》童忠良编，人民音乐出版社</w:t>
      </w:r>
    </w:p>
    <w:p w:rsidR="004C4FA3" w:rsidRDefault="00083885">
      <w:pPr>
        <w:spacing w:line="300" w:lineRule="exact"/>
        <w:rPr>
          <w:rFonts w:ascii="Times New Roman" w:eastAsia="黑体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．《基本乐理》</w:t>
      </w:r>
      <w:proofErr w:type="gramStart"/>
      <w:r>
        <w:rPr>
          <w:rFonts w:ascii="Times New Roman" w:hAnsi="Times New Roman"/>
          <w:color w:val="000000" w:themeColor="text1"/>
          <w:szCs w:val="21"/>
        </w:rPr>
        <w:t>上下册李重光</w:t>
      </w:r>
      <w:proofErr w:type="gramEnd"/>
      <w:r>
        <w:rPr>
          <w:rFonts w:ascii="Times New Roman" w:hAnsi="Times New Roman"/>
          <w:color w:val="000000" w:themeColor="text1"/>
          <w:szCs w:val="21"/>
        </w:rPr>
        <w:t>编著，高等教育出版社</w:t>
      </w:r>
    </w:p>
    <w:p w:rsidR="004C4FA3" w:rsidRDefault="004C4FA3"/>
    <w:sectPr w:rsidR="004C4FA3">
      <w:pgSz w:w="11906" w:h="16838"/>
      <w:pgMar w:top="1559" w:right="1417" w:bottom="1417" w:left="155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大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A6FA8B"/>
    <w:multiLevelType w:val="singleLevel"/>
    <w:tmpl w:val="97A6FA8B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D291200"/>
    <w:multiLevelType w:val="singleLevel"/>
    <w:tmpl w:val="9D291200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89F5B57"/>
    <w:rsid w:val="00083885"/>
    <w:rsid w:val="004C4FA3"/>
    <w:rsid w:val="089F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B73A9"/>
  <w15:docId w15:val="{CA002A58-7BB3-4023-9704-10C11569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after="120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快乐的鱼</dc:creator>
  <cp:lastModifiedBy>微软用户</cp:lastModifiedBy>
  <cp:revision>2</cp:revision>
  <dcterms:created xsi:type="dcterms:W3CDTF">2019-05-12T04:45:00Z</dcterms:created>
  <dcterms:modified xsi:type="dcterms:W3CDTF">2019-05-12T08:53:00Z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