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rPr>
          <w:rFonts w:ascii="Times New Roman" w:hAnsi="Times New Roman" w:eastAsia="新宋体"/>
          <w:color w:val="000000" w:themeColor="text1"/>
          <w:sz w:val="24"/>
          <w14:textFill>
            <w14:solidFill>
              <w14:schemeClr w14:val="tx1"/>
            </w14:solidFill>
          </w14:textFill>
        </w:rPr>
      </w:pPr>
      <w:r>
        <w:rPr>
          <w:rFonts w:ascii="Times New Roman" w:hAnsi="Times New Roman" w:eastAsia="新宋体"/>
          <w:color w:val="000000" w:themeColor="text1"/>
          <w:sz w:val="24"/>
          <w14:textFill>
            <w14:solidFill>
              <w14:schemeClr w14:val="tx1"/>
            </w14:solidFill>
          </w14:textFill>
        </w:rPr>
        <w:t>附件4：</w:t>
      </w:r>
    </w:p>
    <w:p>
      <w:pPr>
        <w:pStyle w:val="2"/>
        <w:spacing w:after="0" w:line="360" w:lineRule="auto"/>
        <w:jc w:val="center"/>
        <w:rPr>
          <w:rFonts w:ascii="Times New Roman" w:hAnsi="Times New Roman" w:eastAsia="方正大黑简体" w:cs="Times New Roman"/>
          <w:color w:val="000000" w:themeColor="text1"/>
          <w:sz w:val="28"/>
          <w:szCs w:val="28"/>
          <w14:textFill>
            <w14:solidFill>
              <w14:schemeClr w14:val="tx1"/>
            </w14:solidFill>
          </w14:textFill>
        </w:rPr>
      </w:pPr>
      <w:r>
        <w:rPr>
          <w:rFonts w:ascii="Times New Roman" w:hAnsi="Times New Roman" w:eastAsia="方正大黑简体" w:cs="Times New Roman"/>
          <w:color w:val="000000" w:themeColor="text1"/>
          <w:sz w:val="28"/>
          <w:szCs w:val="28"/>
          <w14:textFill>
            <w14:solidFill>
              <w14:schemeClr w14:val="tx1"/>
            </w14:solidFill>
          </w14:textFill>
        </w:rPr>
        <w:t>黄冈师范学院201</w:t>
      </w:r>
      <w:r>
        <w:rPr>
          <w:rFonts w:hint="eastAsia" w:ascii="Times New Roman" w:hAnsi="Times New Roman" w:eastAsia="方正大黑简体" w:cs="Times New Roman"/>
          <w:color w:val="000000" w:themeColor="text1"/>
          <w:sz w:val="28"/>
          <w:szCs w:val="28"/>
          <w:lang w:val="en-US" w:eastAsia="zh-CN"/>
          <w14:textFill>
            <w14:solidFill>
              <w14:schemeClr w14:val="tx1"/>
            </w14:solidFill>
          </w14:textFill>
        </w:rPr>
        <w:t>9</w:t>
      </w:r>
      <w:r>
        <w:rPr>
          <w:rFonts w:ascii="Times New Roman" w:hAnsi="Times New Roman" w:eastAsia="方正大黑简体" w:cs="Times New Roman"/>
          <w:color w:val="000000" w:themeColor="text1"/>
          <w:sz w:val="28"/>
          <w:szCs w:val="28"/>
          <w14:textFill>
            <w14:solidFill>
              <w14:schemeClr w14:val="tx1"/>
            </w14:solidFill>
          </w14:textFill>
        </w:rPr>
        <w:t>年普通专升本考试大纲</w:t>
      </w:r>
    </w:p>
    <w:p>
      <w:pPr>
        <w:spacing w:line="320" w:lineRule="exact"/>
        <w:rPr>
          <w:rFonts w:ascii="Times New Roman" w:hAnsi="Times New Roman" w:eastAsia="黑体"/>
          <w:b/>
          <w:color w:val="000000" w:themeColor="text1"/>
          <w:szCs w:val="21"/>
          <w14:textFill>
            <w14:solidFill>
              <w14:schemeClr w14:val="tx1"/>
            </w14:solidFill>
          </w14:textFill>
        </w:rPr>
      </w:pPr>
    </w:p>
    <w:p>
      <w:pPr>
        <w:spacing w:line="320" w:lineRule="exact"/>
        <w:rPr>
          <w:rFonts w:ascii="Times New Roman" w:hAnsi="Times New Roman" w:eastAsia="黑体"/>
          <w:b/>
          <w:color w:val="000000" w:themeColor="text1"/>
          <w:szCs w:val="21"/>
          <w14:textFill>
            <w14:solidFill>
              <w14:schemeClr w14:val="tx1"/>
            </w14:solidFill>
          </w14:textFill>
        </w:rPr>
      </w:pPr>
      <w:r>
        <w:rPr>
          <w:rFonts w:ascii="Times New Roman" w:hAnsi="Times New Roman" w:eastAsia="黑体"/>
          <w:b/>
          <w:color w:val="000000" w:themeColor="text1"/>
          <w:szCs w:val="21"/>
          <w14:textFill>
            <w14:solidFill>
              <w14:schemeClr w14:val="tx1"/>
            </w14:solidFill>
          </w14:textFill>
        </w:rPr>
        <w:t>二、</w:t>
      </w:r>
      <w:bookmarkStart w:id="0" w:name="_GoBack"/>
      <w:r>
        <w:rPr>
          <w:rFonts w:ascii="Times New Roman" w:hAnsi="Times New Roman" w:eastAsia="黑体"/>
          <w:b/>
          <w:color w:val="000000" w:themeColor="text1"/>
          <w:szCs w:val="21"/>
          <w14:textFill>
            <w14:solidFill>
              <w14:schemeClr w14:val="tx1"/>
            </w14:solidFill>
          </w14:textFill>
        </w:rPr>
        <w:t>国际经济与贸易专业《专业综合》考试大纲</w:t>
      </w:r>
      <w:bookmarkEnd w:id="0"/>
    </w:p>
    <w:p>
      <w:pPr>
        <w:spacing w:line="320" w:lineRule="exac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课程一：《国际贸易理论与实务》-理论部分考试大纲（总分为100）</w:t>
      </w:r>
    </w:p>
    <w:p>
      <w:pPr>
        <w:spacing w:line="320" w:lineRule="exact"/>
        <w:ind w:firstLine="211" w:firstLineChars="100"/>
        <w:rPr>
          <w:rFonts w:ascii="Times New Roman" w:hAnsi="Times New Roman"/>
          <w:b/>
          <w:bCs/>
          <w:color w:val="000000" w:themeColor="text1"/>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一、考核目标</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国际贸易理论是国际经济与贸易专业的一门专业必修课程。根据高等院校国际经济与贸易专业的培养目标，设置国际贸易理论的目的要求主要有：</w:t>
      </w:r>
    </w:p>
    <w:p>
      <w:pPr>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1．了解国际贸易的主要理论学说，加深对国际贸易现象的认识和理解。</w:t>
      </w:r>
    </w:p>
    <w:p>
      <w:pPr>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2．熟悉国际贸易的相关政策措施。</w:t>
      </w:r>
    </w:p>
    <w:p>
      <w:pPr>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3．掌握国际贸易的基本概念及其常见的分类方法。</w:t>
      </w:r>
    </w:p>
    <w:p>
      <w:pPr>
        <w:spacing w:line="320" w:lineRule="exact"/>
        <w:ind w:firstLine="211" w:firstLineChars="100"/>
        <w:rPr>
          <w:rFonts w:ascii="Times New Roman" w:hAnsi="Times New Roman"/>
          <w:b/>
          <w:bCs/>
          <w:color w:val="000000" w:themeColor="text1"/>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二、考核内容</w:t>
      </w:r>
    </w:p>
    <w:p>
      <w:pPr>
        <w:spacing w:line="320" w:lineRule="exact"/>
        <w:ind w:left="420"/>
        <w:rPr>
          <w:rFonts w:ascii="Times New Roman" w:hAnsi="Times New Roman" w:eastAsia="黑体"/>
          <w:b/>
          <w:bCs/>
          <w:color w:val="000000" w:themeColor="text1"/>
          <w:szCs w:val="21"/>
          <w14:textFill>
            <w14:solidFill>
              <w14:schemeClr w14:val="tx1"/>
            </w14:solidFill>
          </w14:textFill>
        </w:rPr>
      </w:pPr>
      <w:r>
        <w:rPr>
          <w:rFonts w:ascii="Times New Roman" w:hAnsi="Times New Roman" w:eastAsia="黑体"/>
          <w:b/>
          <w:bCs/>
          <w:color w:val="000000" w:themeColor="text1"/>
          <w:szCs w:val="21"/>
          <w14:textFill>
            <w14:solidFill>
              <w14:schemeClr w14:val="tx1"/>
            </w14:solidFill>
          </w14:textFill>
        </w:rPr>
        <w:t>第一章  国际贸易概述</w:t>
      </w:r>
    </w:p>
    <w:p>
      <w:pPr>
        <w:spacing w:line="320" w:lineRule="exact"/>
        <w:ind w:firstLine="413" w:firstLineChars="196"/>
        <w:rPr>
          <w:rFonts w:ascii="Times New Roman" w:hAnsi="Times New Roman"/>
          <w:color w:val="000000" w:themeColor="text1"/>
          <w:szCs w:val="21"/>
          <w14:textFill>
            <w14:solidFill>
              <w14:schemeClr w14:val="tx1"/>
            </w14:solidFill>
          </w14:textFill>
        </w:rPr>
      </w:pPr>
      <w:r>
        <w:rPr>
          <w:rFonts w:ascii="Times New Roman" w:hAnsi="Times New Roman" w:eastAsia="楷体_GB2312"/>
          <w:b/>
          <w:bCs/>
          <w:color w:val="000000" w:themeColor="text1"/>
          <w:szCs w:val="21"/>
          <w14:textFill>
            <w14:solidFill>
              <w14:schemeClr w14:val="tx1"/>
            </w14:solidFill>
          </w14:textFill>
        </w:rPr>
        <w:t>1．考核内容：</w:t>
      </w:r>
      <w:r>
        <w:rPr>
          <w:rFonts w:ascii="Times New Roman" w:hAnsi="Times New Roman"/>
          <w:color w:val="000000" w:themeColor="text1"/>
          <w:szCs w:val="21"/>
          <w14:textFill>
            <w14:solidFill>
              <w14:schemeClr w14:val="tx1"/>
            </w14:solidFill>
          </w14:textFill>
        </w:rPr>
        <w:t>国际贸易的产生和发展，国际贸易的分类，国际贸易中常用的基本概念。</w:t>
      </w:r>
    </w:p>
    <w:p>
      <w:pPr>
        <w:spacing w:line="320" w:lineRule="exact"/>
        <w:ind w:firstLine="413" w:firstLineChars="196"/>
        <w:rPr>
          <w:rFonts w:ascii="Times New Roman" w:hAnsi="Times New Roman"/>
          <w:color w:val="000000" w:themeColor="text1"/>
          <w:szCs w:val="21"/>
          <w14:textFill>
            <w14:solidFill>
              <w14:schemeClr w14:val="tx1"/>
            </w14:solidFill>
          </w14:textFill>
        </w:rPr>
      </w:pPr>
      <w:r>
        <w:rPr>
          <w:rFonts w:ascii="Times New Roman" w:hAnsi="Times New Roman" w:eastAsia="楷体_GB2312"/>
          <w:b/>
          <w:bCs/>
          <w:color w:val="000000" w:themeColor="text1"/>
          <w:szCs w:val="21"/>
          <w14:textFill>
            <w14:solidFill>
              <w14:schemeClr w14:val="tx1"/>
            </w14:solidFill>
          </w14:textFill>
        </w:rPr>
        <w:t>2．考核要求：</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（1）了解国际贸易的产生和发展；</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（2）掌握国际贸易中常用的一些基本概念。</w:t>
      </w:r>
    </w:p>
    <w:p>
      <w:pPr>
        <w:spacing w:line="320" w:lineRule="exact"/>
        <w:ind w:left="420"/>
        <w:rPr>
          <w:rFonts w:ascii="Times New Roman" w:hAnsi="Times New Roman" w:eastAsia="黑体"/>
          <w:b/>
          <w:bCs/>
          <w:color w:val="000000" w:themeColor="text1"/>
          <w:szCs w:val="21"/>
          <w14:textFill>
            <w14:solidFill>
              <w14:schemeClr w14:val="tx1"/>
            </w14:solidFill>
          </w14:textFill>
        </w:rPr>
      </w:pPr>
      <w:r>
        <w:rPr>
          <w:rFonts w:ascii="Times New Roman" w:hAnsi="Times New Roman" w:eastAsia="黑体"/>
          <w:b/>
          <w:bCs/>
          <w:color w:val="000000" w:themeColor="text1"/>
          <w:szCs w:val="21"/>
          <w14:textFill>
            <w14:solidFill>
              <w14:schemeClr w14:val="tx1"/>
            </w14:solidFill>
          </w14:textFill>
        </w:rPr>
        <w:t>第二章  国际贸易基本理论</w:t>
      </w:r>
    </w:p>
    <w:p>
      <w:pPr>
        <w:spacing w:line="320" w:lineRule="exact"/>
        <w:ind w:firstLine="413" w:firstLineChars="196"/>
        <w:rPr>
          <w:rFonts w:ascii="Times New Roman" w:hAnsi="Times New Roman"/>
          <w:color w:val="000000" w:themeColor="text1"/>
          <w:szCs w:val="21"/>
          <w14:textFill>
            <w14:solidFill>
              <w14:schemeClr w14:val="tx1"/>
            </w14:solidFill>
          </w14:textFill>
        </w:rPr>
      </w:pPr>
      <w:r>
        <w:rPr>
          <w:rFonts w:ascii="Times New Roman" w:hAnsi="Times New Roman" w:eastAsia="楷体_GB2312"/>
          <w:b/>
          <w:bCs/>
          <w:color w:val="000000" w:themeColor="text1"/>
          <w:szCs w:val="21"/>
          <w14:textFill>
            <w14:solidFill>
              <w14:schemeClr w14:val="tx1"/>
            </w14:solidFill>
          </w14:textFill>
        </w:rPr>
        <w:t>1．考核内容：</w:t>
      </w:r>
      <w:r>
        <w:rPr>
          <w:rFonts w:ascii="Times New Roman" w:hAnsi="Times New Roman"/>
          <w:color w:val="000000" w:themeColor="text1"/>
          <w:szCs w:val="21"/>
          <w14:textFill>
            <w14:solidFill>
              <w14:schemeClr w14:val="tx1"/>
            </w14:solidFill>
          </w14:textFill>
        </w:rPr>
        <w:t>马克思主义国际贸易理论，现代国际贸易理论，西方传统国际贸易理论。</w:t>
      </w:r>
    </w:p>
    <w:p>
      <w:pPr>
        <w:spacing w:line="320" w:lineRule="exact"/>
        <w:ind w:firstLine="413" w:firstLineChars="196"/>
        <w:rPr>
          <w:rFonts w:ascii="Times New Roman" w:hAnsi="Times New Roman"/>
          <w:color w:val="000000" w:themeColor="text1"/>
          <w:szCs w:val="21"/>
          <w14:textFill>
            <w14:solidFill>
              <w14:schemeClr w14:val="tx1"/>
            </w14:solidFill>
          </w14:textFill>
        </w:rPr>
      </w:pPr>
      <w:r>
        <w:rPr>
          <w:rFonts w:ascii="Times New Roman" w:hAnsi="Times New Roman" w:eastAsia="楷体_GB2312"/>
          <w:b/>
          <w:bCs/>
          <w:color w:val="000000" w:themeColor="text1"/>
          <w:szCs w:val="21"/>
          <w14:textFill>
            <w14:solidFill>
              <w14:schemeClr w14:val="tx1"/>
            </w14:solidFill>
          </w14:textFill>
        </w:rPr>
        <w:t>2．考核要求：</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（1）了解古典的、现代的和当代的国际贸易理论之间的关系，具备用这些理论去解释经济现象的能力；</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（2）掌握有关的西方传统国际贸易理论、现代国际贸易理论和当代国际贸易理论。</w:t>
      </w:r>
    </w:p>
    <w:p>
      <w:pPr>
        <w:spacing w:line="320" w:lineRule="exact"/>
        <w:ind w:left="420"/>
        <w:rPr>
          <w:rFonts w:ascii="Times New Roman" w:hAnsi="Times New Roman" w:eastAsia="黑体"/>
          <w:b/>
          <w:bCs/>
          <w:color w:val="000000" w:themeColor="text1"/>
          <w:szCs w:val="21"/>
          <w14:textFill>
            <w14:solidFill>
              <w14:schemeClr w14:val="tx1"/>
            </w14:solidFill>
          </w14:textFill>
        </w:rPr>
      </w:pPr>
      <w:r>
        <w:rPr>
          <w:rFonts w:ascii="Times New Roman" w:hAnsi="Times New Roman" w:eastAsia="黑体"/>
          <w:b/>
          <w:bCs/>
          <w:color w:val="000000" w:themeColor="text1"/>
          <w:szCs w:val="21"/>
          <w14:textFill>
            <w14:solidFill>
              <w14:schemeClr w14:val="tx1"/>
            </w14:solidFill>
          </w14:textFill>
        </w:rPr>
        <w:t>第三章  国际贸易政策</w:t>
      </w:r>
    </w:p>
    <w:p>
      <w:pPr>
        <w:spacing w:line="320" w:lineRule="exact"/>
        <w:ind w:firstLine="413" w:firstLineChars="196"/>
        <w:rPr>
          <w:rFonts w:ascii="Times New Roman" w:hAnsi="Times New Roman"/>
          <w:color w:val="000000" w:themeColor="text1"/>
          <w:szCs w:val="21"/>
          <w14:textFill>
            <w14:solidFill>
              <w14:schemeClr w14:val="tx1"/>
            </w14:solidFill>
          </w14:textFill>
        </w:rPr>
      </w:pPr>
      <w:r>
        <w:rPr>
          <w:rFonts w:ascii="Times New Roman" w:hAnsi="Times New Roman" w:eastAsia="楷体_GB2312"/>
          <w:b/>
          <w:bCs/>
          <w:color w:val="000000" w:themeColor="text1"/>
          <w:szCs w:val="21"/>
          <w14:textFill>
            <w14:solidFill>
              <w14:schemeClr w14:val="tx1"/>
            </w14:solidFill>
          </w14:textFill>
        </w:rPr>
        <w:t>1．考核内容：</w:t>
      </w:r>
      <w:r>
        <w:rPr>
          <w:rFonts w:ascii="Times New Roman" w:hAnsi="Times New Roman"/>
          <w:color w:val="000000" w:themeColor="text1"/>
          <w:szCs w:val="21"/>
          <w14:textFill>
            <w14:solidFill>
              <w14:schemeClr w14:val="tx1"/>
            </w14:solidFill>
          </w14:textFill>
        </w:rPr>
        <w:t>保护幼稚工业政策、农产品贸易政策、战略性贸易政策。</w:t>
      </w:r>
    </w:p>
    <w:p>
      <w:pPr>
        <w:spacing w:line="320" w:lineRule="exact"/>
        <w:ind w:firstLine="413" w:firstLineChars="196"/>
        <w:rPr>
          <w:rFonts w:ascii="Times New Roman" w:hAnsi="Times New Roman"/>
          <w:color w:val="000000" w:themeColor="text1"/>
          <w:szCs w:val="21"/>
          <w14:textFill>
            <w14:solidFill>
              <w14:schemeClr w14:val="tx1"/>
            </w14:solidFill>
          </w14:textFill>
        </w:rPr>
      </w:pPr>
      <w:r>
        <w:rPr>
          <w:rFonts w:ascii="Times New Roman" w:hAnsi="Times New Roman" w:eastAsia="楷体_GB2312"/>
          <w:b/>
          <w:bCs/>
          <w:color w:val="000000" w:themeColor="text1"/>
          <w:szCs w:val="21"/>
          <w14:textFill>
            <w14:solidFill>
              <w14:schemeClr w14:val="tx1"/>
            </w14:solidFill>
          </w14:textFill>
        </w:rPr>
        <w:t>2．考核要求：</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（1）了解各种贸易政策之间的联系和区别以及各自的特点；</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（2）掌握六个不同时期的几种不同类型的对外贸易政策的内容及其理论基础。</w:t>
      </w:r>
    </w:p>
    <w:p>
      <w:pPr>
        <w:spacing w:line="320" w:lineRule="exact"/>
        <w:ind w:left="420"/>
        <w:rPr>
          <w:rFonts w:ascii="Times New Roman" w:hAnsi="Times New Roman" w:eastAsia="黑体"/>
          <w:b/>
          <w:bCs/>
          <w:color w:val="000000" w:themeColor="text1"/>
          <w:szCs w:val="21"/>
          <w14:textFill>
            <w14:solidFill>
              <w14:schemeClr w14:val="tx1"/>
            </w14:solidFill>
          </w14:textFill>
        </w:rPr>
      </w:pPr>
      <w:r>
        <w:rPr>
          <w:rFonts w:ascii="Times New Roman" w:hAnsi="Times New Roman" w:eastAsia="黑体"/>
          <w:b/>
          <w:bCs/>
          <w:color w:val="000000" w:themeColor="text1"/>
          <w:szCs w:val="21"/>
          <w14:textFill>
            <w14:solidFill>
              <w14:schemeClr w14:val="tx1"/>
            </w14:solidFill>
          </w14:textFill>
        </w:rPr>
        <w:t>第四章 国际贸易措施</w:t>
      </w:r>
    </w:p>
    <w:p>
      <w:pPr>
        <w:spacing w:line="320" w:lineRule="exact"/>
        <w:ind w:firstLine="413" w:firstLineChars="196"/>
        <w:rPr>
          <w:rFonts w:ascii="Times New Roman" w:hAnsi="Times New Roman"/>
          <w:color w:val="000000" w:themeColor="text1"/>
          <w:szCs w:val="21"/>
          <w14:textFill>
            <w14:solidFill>
              <w14:schemeClr w14:val="tx1"/>
            </w14:solidFill>
          </w14:textFill>
        </w:rPr>
      </w:pPr>
      <w:r>
        <w:rPr>
          <w:rFonts w:ascii="Times New Roman" w:hAnsi="Times New Roman" w:eastAsia="楷体_GB2312"/>
          <w:b/>
          <w:bCs/>
          <w:color w:val="000000" w:themeColor="text1"/>
          <w:szCs w:val="21"/>
          <w14:textFill>
            <w14:solidFill>
              <w14:schemeClr w14:val="tx1"/>
            </w14:solidFill>
          </w14:textFill>
        </w:rPr>
        <w:t>1．考核内容：</w:t>
      </w:r>
      <w:r>
        <w:rPr>
          <w:rFonts w:ascii="Times New Roman" w:hAnsi="Times New Roman"/>
          <w:color w:val="000000" w:themeColor="text1"/>
          <w:szCs w:val="21"/>
          <w14:textFill>
            <w14:solidFill>
              <w14:schemeClr w14:val="tx1"/>
            </w14:solidFill>
          </w14:textFill>
        </w:rPr>
        <w:t>关税制度，非关税壁垒措施，鼓励出口措施。</w:t>
      </w:r>
    </w:p>
    <w:p>
      <w:pPr>
        <w:spacing w:line="320" w:lineRule="exact"/>
        <w:ind w:firstLine="413" w:firstLineChars="196"/>
        <w:rPr>
          <w:rFonts w:ascii="Times New Roman" w:hAnsi="Times New Roman"/>
          <w:color w:val="000000" w:themeColor="text1"/>
          <w:szCs w:val="21"/>
          <w14:textFill>
            <w14:solidFill>
              <w14:schemeClr w14:val="tx1"/>
            </w14:solidFill>
          </w14:textFill>
        </w:rPr>
      </w:pPr>
      <w:r>
        <w:rPr>
          <w:rFonts w:ascii="Times New Roman" w:hAnsi="Times New Roman" w:eastAsia="楷体_GB2312"/>
          <w:b/>
          <w:bCs/>
          <w:color w:val="000000" w:themeColor="text1"/>
          <w:szCs w:val="21"/>
          <w14:textFill>
            <w14:solidFill>
              <w14:schemeClr w14:val="tx1"/>
            </w14:solidFill>
          </w14:textFill>
        </w:rPr>
        <w:t>2．考核要求：</w:t>
      </w:r>
    </w:p>
    <w:p>
      <w:pPr>
        <w:spacing w:line="320" w:lineRule="exact"/>
        <w:ind w:left="315" w:leftChars="15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（1）熟悉限制进口和奖励出口的各种具体做法，让学生初步具备识别能力；</w:t>
      </w:r>
    </w:p>
    <w:p>
      <w:pPr>
        <w:spacing w:line="320" w:lineRule="exact"/>
        <w:ind w:left="315" w:leftChars="15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（2）掌握奖出限入的各种措施。</w:t>
      </w:r>
    </w:p>
    <w:p>
      <w:pPr>
        <w:spacing w:line="320" w:lineRule="exact"/>
        <w:ind w:firstLine="211" w:firstLineChars="100"/>
        <w:rPr>
          <w:rFonts w:ascii="Times New Roman" w:hAnsi="Times New Roman"/>
          <w:color w:val="000000" w:themeColor="text1"/>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三、考试方式</w:t>
      </w:r>
      <w:r>
        <w:rPr>
          <w:rFonts w:ascii="Times New Roman" w:hAnsi="Times New Roman"/>
          <w:color w:val="000000" w:themeColor="text1"/>
          <w:szCs w:val="21"/>
          <w14:textFill>
            <w14:solidFill>
              <w14:schemeClr w14:val="tx1"/>
            </w14:solidFill>
          </w14:textFill>
        </w:rPr>
        <w:t>：</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考核形式：考试； </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考核类型：闭卷</w:t>
      </w:r>
    </w:p>
    <w:p>
      <w:pPr>
        <w:spacing w:line="320" w:lineRule="exact"/>
        <w:ind w:firstLine="211" w:firstLineChars="100"/>
        <w:rPr>
          <w:rFonts w:ascii="Times New Roman" w:hAnsi="Times New Roman"/>
          <w:b/>
          <w:bCs/>
          <w:color w:val="000000" w:themeColor="text1"/>
          <w:szCs w:val="21"/>
          <w14:textFill>
            <w14:solidFill>
              <w14:schemeClr w14:val="tx1"/>
            </w14:solidFill>
          </w14:textFill>
        </w:rPr>
      </w:pPr>
      <w:r>
        <w:rPr>
          <w:rFonts w:ascii="Times New Roman" w:hAnsi="Times New Roman"/>
          <w:b/>
          <w:bCs/>
          <w:color w:val="000000" w:themeColor="text1"/>
          <w:szCs w:val="21"/>
          <w14:textFill>
            <w14:solidFill>
              <w14:schemeClr w14:val="tx1"/>
            </w14:solidFill>
          </w14:textFill>
        </w:rPr>
        <w:t>四、试题类型：</w:t>
      </w:r>
    </w:p>
    <w:p>
      <w:pPr>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（1）名词解释 （2）填空 （3）选择 （4）简答 （5）论述</w:t>
      </w:r>
    </w:p>
    <w:p>
      <w:pPr>
        <w:spacing w:line="320" w:lineRule="exact"/>
        <w:ind w:firstLine="211" w:firstLineChars="100"/>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五、参考教材：</w:t>
      </w:r>
    </w:p>
    <w:p>
      <w:pPr>
        <w:tabs>
          <w:tab w:val="left" w:pos="360"/>
        </w:tabs>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《国际贸易理论与实务》刘汉成主编，华中科技大学出版社，201</w:t>
      </w:r>
      <w:r>
        <w:rPr>
          <w:rFonts w:hint="eastAsia" w:ascii="Times New Roman" w:hAnsi="Times New Roman"/>
          <w:color w:val="000000" w:themeColor="text1"/>
          <w:szCs w:val="21"/>
          <w:lang w:val="en-US" w:eastAsia="zh-CN"/>
          <w14:textFill>
            <w14:solidFill>
              <w14:schemeClr w14:val="tx1"/>
            </w14:solidFill>
          </w14:textFill>
        </w:rPr>
        <w:t>8</w:t>
      </w:r>
      <w:r>
        <w:rPr>
          <w:rFonts w:ascii="Times New Roman" w:hAnsi="Times New Roman"/>
          <w:color w:val="000000" w:themeColor="text1"/>
          <w:szCs w:val="21"/>
          <w14:textFill>
            <w14:solidFill>
              <w14:schemeClr w14:val="tx1"/>
            </w14:solidFill>
          </w14:textFill>
        </w:rPr>
        <w:t>年</w:t>
      </w:r>
      <w:r>
        <w:rPr>
          <w:rFonts w:hint="eastAsia" w:ascii="Times New Roman" w:hAnsi="Times New Roman"/>
          <w:color w:val="000000" w:themeColor="text1"/>
          <w:szCs w:val="21"/>
          <w:lang w:val="en-US" w:eastAsia="zh-CN"/>
          <w14:textFill>
            <w14:solidFill>
              <w14:schemeClr w14:val="tx1"/>
            </w14:solidFill>
          </w14:textFill>
        </w:rPr>
        <w:t>12</w:t>
      </w:r>
      <w:r>
        <w:rPr>
          <w:rFonts w:ascii="Times New Roman" w:hAnsi="Times New Roman"/>
          <w:color w:val="000000" w:themeColor="text1"/>
          <w:szCs w:val="21"/>
          <w14:textFill>
            <w14:solidFill>
              <w14:schemeClr w14:val="tx1"/>
            </w14:solidFill>
          </w14:textFill>
        </w:rPr>
        <w:t>月</w:t>
      </w:r>
      <w:r>
        <w:rPr>
          <w:rFonts w:hint="eastAsia" w:ascii="Times New Roman" w:hAnsi="Times New Roman"/>
          <w:color w:val="000000" w:themeColor="text1"/>
          <w:szCs w:val="21"/>
          <w:lang w:eastAsia="zh-CN"/>
          <w14:textFill>
            <w14:solidFill>
              <w14:schemeClr w14:val="tx1"/>
            </w14:solidFill>
          </w14:textFill>
        </w:rPr>
        <w:t>第</w:t>
      </w:r>
      <w:r>
        <w:rPr>
          <w:rFonts w:hint="eastAsia" w:ascii="Times New Roman" w:hAnsi="Times New Roman"/>
          <w:color w:val="000000" w:themeColor="text1"/>
          <w:szCs w:val="21"/>
          <w:lang w:val="en-US" w:eastAsia="zh-CN"/>
          <w14:textFill>
            <w14:solidFill>
              <w14:schemeClr w14:val="tx1"/>
            </w14:solidFill>
          </w14:textFill>
        </w:rPr>
        <w:t>1</w:t>
      </w:r>
      <w:r>
        <w:rPr>
          <w:rFonts w:ascii="Times New Roman" w:hAnsi="Times New Roman"/>
          <w:color w:val="000000" w:themeColor="text1"/>
          <w:szCs w:val="21"/>
          <w14:textFill>
            <w14:solidFill>
              <w14:schemeClr w14:val="tx1"/>
            </w14:solidFill>
          </w14:textFill>
        </w:rPr>
        <w:t>版。</w:t>
      </w:r>
    </w:p>
    <w:p>
      <w:pPr>
        <w:spacing w:line="320" w:lineRule="exact"/>
        <w:rPr>
          <w:rFonts w:ascii="Times New Roman" w:hAnsi="Times New Roman"/>
          <w:b/>
          <w:color w:val="000000" w:themeColor="text1"/>
          <w:szCs w:val="21"/>
          <w14:textFill>
            <w14:solidFill>
              <w14:schemeClr w14:val="tx1"/>
            </w14:solidFill>
          </w14:textFill>
        </w:rPr>
      </w:pPr>
    </w:p>
    <w:p>
      <w:pPr>
        <w:spacing w:line="320" w:lineRule="exact"/>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课程二：《会计学原理》考试大纲（总分为100）</w:t>
      </w:r>
    </w:p>
    <w:p>
      <w:pPr>
        <w:adjustRightInd w:val="0"/>
        <w:snapToGrid w:val="0"/>
        <w:spacing w:line="320" w:lineRule="exact"/>
        <w:ind w:firstLine="413" w:firstLineChars="196"/>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一、考核目标</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考核学生掌握会计的基本理论、会计核算的基本方法基本情况，考察学生理解会计工作的组织和程序能力，考察学生熟练掌握会计核算工作的基本操作技术的能力。</w:t>
      </w:r>
    </w:p>
    <w:p>
      <w:pPr>
        <w:adjustRightInd w:val="0"/>
        <w:snapToGrid w:val="0"/>
        <w:spacing w:line="320" w:lineRule="exact"/>
        <w:ind w:firstLine="413" w:firstLineChars="196"/>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二、主要考核内容</w:t>
      </w:r>
    </w:p>
    <w:p>
      <w:pPr>
        <w:adjustRightInd w:val="0"/>
        <w:snapToGrid w:val="0"/>
        <w:spacing w:line="320" w:lineRule="exact"/>
        <w:ind w:firstLine="413" w:firstLineChars="196"/>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第一章  总论</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1.考核目标 </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主要考核学生了解和掌握会计的基本含义、会计对象以及会计要素，会计核算的前提条件以及会计信息质量要求的基本情况。</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2.主要考核内容 </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1）会计的含义；</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2）会计对象与会计要素；</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3）会计信息质量要求与会计核算前提条件；</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4）会计核算方法。</w:t>
      </w:r>
    </w:p>
    <w:p>
      <w:pPr>
        <w:adjustRightInd w:val="0"/>
        <w:snapToGrid w:val="0"/>
        <w:spacing w:line="320" w:lineRule="exact"/>
        <w:ind w:firstLine="422" w:firstLineChars="200"/>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第二章 会计科目与会计账户</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1.考核目标</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主要考核学生掌握会计等式、会计科目以及账户的含义，分析经济业务变化对会计等式的影响，借贷记账法的记账规则等方面的内容的基本情况。</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2.主要考核内容</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1）会计等式；</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2）会计科目；</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 账户及其基本结构；</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 复式记账法原理；</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 借贷记账法。</w:t>
      </w:r>
    </w:p>
    <w:p>
      <w:pPr>
        <w:numPr>
          <w:ilvl w:val="0"/>
          <w:numId w:val="1"/>
        </w:numPr>
        <w:adjustRightInd w:val="0"/>
        <w:snapToGrid w:val="0"/>
        <w:spacing w:line="320" w:lineRule="exact"/>
        <w:ind w:hanging="287"/>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  制造企业主要经济业务核算</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1.考核目标</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主要考核学生运用借贷记账法记录工业制造企业生产循环中的各类经济业务的能力。</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2.主要考核内容</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1）制造企业主要经济业务概述；</w:t>
      </w:r>
    </w:p>
    <w:p>
      <w:pPr>
        <w:adjustRightInd w:val="0"/>
        <w:snapToGrid w:val="0"/>
        <w:spacing w:line="320" w:lineRule="exact"/>
        <w:ind w:left="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2）筹集资金的核算；</w:t>
      </w:r>
    </w:p>
    <w:p>
      <w:pPr>
        <w:adjustRightInd w:val="0"/>
        <w:snapToGrid w:val="0"/>
        <w:spacing w:line="320" w:lineRule="exact"/>
        <w:ind w:left="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3）供应过程的核算；</w:t>
      </w:r>
    </w:p>
    <w:p>
      <w:pPr>
        <w:adjustRightInd w:val="0"/>
        <w:snapToGrid w:val="0"/>
        <w:spacing w:line="320" w:lineRule="exact"/>
        <w:ind w:left="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4）生产过程的核算；</w:t>
      </w:r>
    </w:p>
    <w:p>
      <w:pPr>
        <w:adjustRightInd w:val="0"/>
        <w:snapToGrid w:val="0"/>
        <w:spacing w:line="320" w:lineRule="exact"/>
        <w:ind w:left="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5）销售过程的核算；</w:t>
      </w:r>
    </w:p>
    <w:p>
      <w:pPr>
        <w:adjustRightInd w:val="0"/>
        <w:snapToGrid w:val="0"/>
        <w:spacing w:line="320" w:lineRule="exact"/>
        <w:ind w:left="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6）利润形成与分配的核算。</w:t>
      </w:r>
    </w:p>
    <w:p>
      <w:pPr>
        <w:adjustRightInd w:val="0"/>
        <w:snapToGrid w:val="0"/>
        <w:spacing w:line="320" w:lineRule="exact"/>
        <w:ind w:firstLine="413" w:firstLineChars="196"/>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第四章  账户的分类</w:t>
      </w:r>
    </w:p>
    <w:p>
      <w:pPr>
        <w:adjustRightInd w:val="0"/>
        <w:snapToGrid w:val="0"/>
        <w:spacing w:line="320" w:lineRule="exact"/>
        <w:ind w:left="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1.考核目标</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主要考核学生掌握账户的用途、结构及其反映的经济内容等基本情况。</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2.主要考核内容</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1）账户分类的意义和原则；</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2）账户按经济内容的分类；</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3）账户按用途和结构的分类 ；</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4）账户的其他分类方法。</w:t>
      </w:r>
    </w:p>
    <w:p>
      <w:pPr>
        <w:spacing w:line="320" w:lineRule="exact"/>
        <w:ind w:firstLine="413" w:firstLineChars="196"/>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第五章  会计凭证</w:t>
      </w:r>
    </w:p>
    <w:p>
      <w:pPr>
        <w:adjustRightInd w:val="0"/>
        <w:snapToGrid w:val="0"/>
        <w:spacing w:line="320" w:lineRule="exact"/>
        <w:ind w:firstLine="435"/>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1.考核目标</w:t>
      </w:r>
    </w:p>
    <w:p>
      <w:pPr>
        <w:adjustRightInd w:val="0"/>
        <w:snapToGrid w:val="0"/>
        <w:spacing w:line="320" w:lineRule="exact"/>
        <w:ind w:firstLine="435"/>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主要考核学生掌握会计凭证的基本格式、内容、填制要求，填制和审核会计凭证的正确方法等内容的情况。</w:t>
      </w:r>
    </w:p>
    <w:p>
      <w:pPr>
        <w:adjustRightInd w:val="0"/>
        <w:snapToGrid w:val="0"/>
        <w:spacing w:line="320" w:lineRule="exact"/>
        <w:ind w:firstLine="435"/>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2.主要考核内容</w:t>
      </w:r>
    </w:p>
    <w:p>
      <w:pPr>
        <w:adjustRightInd w:val="0"/>
        <w:snapToGrid w:val="0"/>
        <w:spacing w:line="320" w:lineRule="exact"/>
        <w:ind w:firstLine="435"/>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1）原始凭证的填制和审核；</w:t>
      </w:r>
    </w:p>
    <w:p>
      <w:pPr>
        <w:adjustRightInd w:val="0"/>
        <w:snapToGrid w:val="0"/>
        <w:spacing w:line="320" w:lineRule="exact"/>
        <w:ind w:firstLine="435"/>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2）记账凭证的填制和审核；</w:t>
      </w:r>
    </w:p>
    <w:p>
      <w:pPr>
        <w:adjustRightInd w:val="0"/>
        <w:snapToGrid w:val="0"/>
        <w:spacing w:line="320" w:lineRule="exact"/>
        <w:ind w:left="435"/>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3）会计凭证的传递和保管。</w:t>
      </w:r>
    </w:p>
    <w:p>
      <w:pPr>
        <w:spacing w:line="320" w:lineRule="exact"/>
        <w:ind w:firstLine="413" w:firstLineChars="196"/>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第六章  会计账簿</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1.考核目标</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本章主要考察学生掌握会计账簿作用、设置原则，掌握会计账簿分类，会计账簿的登记方法，以及对账与结账、错账的更正方法等内容情况。</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2.主要考核内容</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1）会计账簿的意义和种类；</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2）会计账簿的设置与登记；</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3）会计账簿的使用和登记规则；</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4）对账与结账；</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5）错账的更正方法。</w:t>
      </w:r>
    </w:p>
    <w:p>
      <w:pPr>
        <w:numPr>
          <w:ilvl w:val="0"/>
          <w:numId w:val="2"/>
        </w:numPr>
        <w:adjustRightInd w:val="0"/>
        <w:snapToGrid w:val="0"/>
        <w:spacing w:line="320" w:lineRule="exact"/>
        <w:ind w:hanging="287"/>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  财产清查</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1.考核目标</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通过本章的教学，主要考核学生了解财产清查的意义、掌握财产清查的种类、方法，掌握财产清查结果的会计处理等内容的基本情况。</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2.主要考核内容</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1）财产清查的内容及种类；</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2）财产清查的方法；</w:t>
      </w:r>
    </w:p>
    <w:p>
      <w:pPr>
        <w:adjustRightInd w:val="0"/>
        <w:snapToGrid w:val="0"/>
        <w:spacing w:line="320" w:lineRule="exact"/>
        <w:ind w:firstLine="48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3）财产清查结果的处理。</w:t>
      </w:r>
    </w:p>
    <w:p>
      <w:pPr>
        <w:adjustRightInd w:val="0"/>
        <w:snapToGrid w:val="0"/>
        <w:spacing w:line="320" w:lineRule="exact"/>
        <w:ind w:firstLine="413" w:firstLineChars="196"/>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第八章  财务会计报告</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1.考核目标</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本章主要考核学生了解资产负债表、利润表、现金流量表的内容与编制方法，掌握会计报表的分类，掌握会计报表的编制要求等内容的基本情况。</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2.主要考核内容</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1）财务会计报告概述；</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2）资产负债表；</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3）利润表。</w:t>
      </w:r>
    </w:p>
    <w:p>
      <w:pPr>
        <w:adjustRightInd w:val="0"/>
        <w:snapToGrid w:val="0"/>
        <w:spacing w:line="320" w:lineRule="exact"/>
        <w:ind w:firstLine="413" w:firstLineChars="196"/>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第九章  账务处理程序</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1.考核目标</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本章主要考核学业生掌握各种账务处理程序的操作流程及其相互之间的联系与区别的基本情况不。 </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2.主要考核内容</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1）记账凭证账务处理程序；</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2）科目汇总表账务处理程序；</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3）汇总记账凭证账务处理程序；</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4）多栏式日记账账务处理程序。 </w:t>
      </w:r>
    </w:p>
    <w:p>
      <w:pPr>
        <w:adjustRightInd w:val="0"/>
        <w:snapToGrid w:val="0"/>
        <w:spacing w:line="320" w:lineRule="exact"/>
        <w:ind w:firstLine="422" w:firstLineChars="200"/>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第十章  会计规范体系与会计工作组织</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1.考核目标</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本章主要考核学生了解我国会计法规制度，掌握在会计工作中如何设置会计机构和配备会计人员等情况。  </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2.主要考核内容</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1）会计工作组织概述；</w:t>
      </w:r>
    </w:p>
    <w:p>
      <w:pPr>
        <w:adjustRightInd w:val="0"/>
        <w:snapToGrid w:val="0"/>
        <w:spacing w:line="320" w:lineRule="exact"/>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2）会计机构及会计岗位责任制。</w:t>
      </w:r>
    </w:p>
    <w:p>
      <w:pPr>
        <w:adjustRightInd w:val="0"/>
        <w:snapToGrid w:val="0"/>
        <w:spacing w:line="320" w:lineRule="exact"/>
        <w:ind w:firstLine="413" w:firstLineChars="196"/>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三、试题基本类型</w:t>
      </w:r>
    </w:p>
    <w:p>
      <w:pPr>
        <w:adjustRightInd w:val="0"/>
        <w:snapToGrid w:val="0"/>
        <w:spacing w:line="320" w:lineRule="exact"/>
        <w:ind w:firstLine="516" w:firstLineChars="246"/>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考试基本题型包括：选择题（含单项和多项选择）、判断题、 业务分析题。</w:t>
      </w:r>
    </w:p>
    <w:p>
      <w:pPr>
        <w:adjustRightInd w:val="0"/>
        <w:snapToGrid w:val="0"/>
        <w:spacing w:line="320" w:lineRule="exact"/>
        <w:ind w:firstLine="413" w:firstLineChars="196"/>
        <w:rPr>
          <w:rFonts w:ascii="Times New Roman" w:hAnsi="Times New Roman"/>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四、考试时间：</w:t>
      </w:r>
      <w:r>
        <w:rPr>
          <w:rFonts w:ascii="Times New Roman" w:hAnsi="Times New Roman"/>
          <w:color w:val="000000" w:themeColor="text1"/>
          <w:szCs w:val="21"/>
          <w14:textFill>
            <w14:solidFill>
              <w14:schemeClr w14:val="tx1"/>
            </w14:solidFill>
          </w14:textFill>
        </w:rPr>
        <w:t>100分钟</w:t>
      </w:r>
    </w:p>
    <w:p>
      <w:pPr>
        <w:adjustRightInd w:val="0"/>
        <w:snapToGrid w:val="0"/>
        <w:spacing w:line="320" w:lineRule="exact"/>
        <w:ind w:firstLine="413" w:firstLineChars="196"/>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五、考试命题双向细目表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8"/>
        <w:gridCol w:w="1072"/>
        <w:gridCol w:w="1072"/>
        <w:gridCol w:w="1073"/>
        <w:gridCol w:w="1072"/>
        <w:gridCol w:w="1072"/>
        <w:gridCol w:w="1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mc:AlternateContent>
                <mc:Choice Requires="wps">
                  <w:drawing>
                    <wp:anchor distT="0" distB="0" distL="114300" distR="114300" simplePos="0" relativeHeight="251658240" behindDoc="0" locked="0" layoutInCell="1" allowOverlap="1">
                      <wp:simplePos x="0" y="0"/>
                      <wp:positionH relativeFrom="column">
                        <wp:posOffset>-55880</wp:posOffset>
                      </wp:positionH>
                      <wp:positionV relativeFrom="paragraph">
                        <wp:posOffset>59690</wp:posOffset>
                      </wp:positionV>
                      <wp:extent cx="1313180" cy="233680"/>
                      <wp:effectExtent l="635" t="4445" r="19685" b="9525"/>
                      <wp:wrapNone/>
                      <wp:docPr id="2" name="直接连接符 2"/>
                      <wp:cNvGraphicFramePr/>
                      <a:graphic xmlns:a="http://schemas.openxmlformats.org/drawingml/2006/main">
                        <a:graphicData uri="http://schemas.microsoft.com/office/word/2010/wordprocessingShape">
                          <wps:wsp>
                            <wps:cNvSpPr/>
                            <wps:spPr>
                              <a:xfrm>
                                <a:off x="0" y="0"/>
                                <a:ext cx="1313180" cy="23368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4pt;margin-top:4.7pt;height:18.4pt;width:103.4pt;z-index:251658240;mso-width-relative:page;mso-height-relative:page;" filled="f" coordsize="21600,21600" o:gfxdata="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chT89YAAAAHAQAADwAAAAAA&#10;AAABACAAAAAiAAAAZHJzL2Rvd25yZXYueG1sUEsBAhQAFAAAAAgAh07iQOipkczcAQAAmwMAAA4A&#10;AAAAAAAAAQAgAAAAJQEAAGRycy9lMm9Eb2MueG1sUEsFBgAAAAAGAAYAWQEAAHMFAAAAAA==&#10;">
                      <v:path arrowok="t"/>
                      <v:fill on="f" focussize="0,0"/>
                      <v:stroke/>
                      <v:imagedata o:title=""/>
                      <o:lock v:ext="edit"/>
                    </v:line>
                  </w:pict>
                </mc:Fallback>
              </mc:AlternateContent>
            </w:r>
            <w:r>
              <w:rPr>
                <w:rFonts w:ascii="Times New Roman" w:hAnsi="Times New Roman"/>
                <w:color w:val="000000" w:themeColor="text1"/>
                <w:szCs w:val="21"/>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-55880</wp:posOffset>
                      </wp:positionH>
                      <wp:positionV relativeFrom="paragraph">
                        <wp:posOffset>59690</wp:posOffset>
                      </wp:positionV>
                      <wp:extent cx="981075" cy="557530"/>
                      <wp:effectExtent l="2540" t="4445" r="6985" b="9525"/>
                      <wp:wrapNone/>
                      <wp:docPr id="1" name="直接连接符 1"/>
                      <wp:cNvGraphicFramePr/>
                      <a:graphic xmlns:a="http://schemas.openxmlformats.org/drawingml/2006/main">
                        <a:graphicData uri="http://schemas.microsoft.com/office/word/2010/wordprocessingShape">
                          <wps:wsp>
                            <wps:cNvSpPr/>
                            <wps:spPr>
                              <a:xfrm>
                                <a:off x="0" y="0"/>
                                <a:ext cx="981075" cy="55753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4pt;margin-top:4.7pt;height:43.9pt;width:77.25pt;z-index:251659264;mso-width-relative:page;mso-height-relative:page;" filled="f" coordsize="21600,21600" o:gfxdata="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ASkSHzWAAAABwEAAA8AAAAA&#10;AAAAAQAgAAAAIgAAAGRycy9kb3ducmV2LnhtbFBLAQIUABQAAAAIAIdO4kD11l+s3QEAAJoDAAAO&#10;AAAAAAAAAAEAIAAAACUBAABkcnMvZTJvRG9jLnhtbFBLBQYAAAAABgAGAFkBAAB0BQAAAAA=&#10;">
                      <v:path arrowok="t"/>
                      <v:fill on="f" focussize="0,0"/>
                      <v:stroke/>
                      <v:imagedata o:title=""/>
                      <o:lock v:ext="edit"/>
                    </v:line>
                  </w:pict>
                </mc:Fallback>
              </mc:AlternateContent>
            </w:r>
            <w:r>
              <w:rPr>
                <w:rFonts w:ascii="Times New Roman" w:hAnsi="Times New Roman"/>
                <w:color w:val="000000" w:themeColor="text1"/>
                <w:szCs w:val="21"/>
                <w14:textFill>
                  <w14:solidFill>
                    <w14:schemeClr w14:val="tx1"/>
                  </w14:solidFill>
                </w14:textFill>
              </w:rPr>
              <w:t xml:space="preserve">     考核目标</w:t>
            </w:r>
          </w:p>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考核比例</w:t>
            </w:r>
          </w:p>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考试章节        </w:t>
            </w:r>
          </w:p>
        </w:tc>
        <w:tc>
          <w:tcPr>
            <w:tcW w:w="1072" w:type="dxa"/>
            <w:vAlign w:val="center"/>
          </w:tcPr>
          <w:p>
            <w:pPr>
              <w:adjustRightInd w:val="0"/>
              <w:snapToGrid w:val="0"/>
              <w:spacing w:line="320" w:lineRule="exact"/>
              <w:ind w:firstLine="210" w:firstLineChars="100"/>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知识</w:t>
            </w:r>
          </w:p>
          <w:p>
            <w:pPr>
              <w:adjustRightInd w:val="0"/>
              <w:snapToGrid w:val="0"/>
              <w:spacing w:line="320" w:lineRule="exact"/>
              <w:ind w:firstLine="105" w:firstLineChars="50"/>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1072" w:type="dxa"/>
            <w:vAlign w:val="center"/>
          </w:tcPr>
          <w:p>
            <w:pPr>
              <w:adjustRightInd w:val="0"/>
              <w:snapToGrid w:val="0"/>
              <w:spacing w:line="320" w:lineRule="exact"/>
              <w:ind w:firstLine="105" w:firstLineChars="50"/>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理解</w:t>
            </w:r>
          </w:p>
          <w:p>
            <w:pPr>
              <w:adjustRightInd w:val="0"/>
              <w:snapToGrid w:val="0"/>
              <w:spacing w:line="320" w:lineRule="exact"/>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1073" w:type="dxa"/>
            <w:vAlign w:val="center"/>
          </w:tcPr>
          <w:p>
            <w:pPr>
              <w:adjustRightInd w:val="0"/>
              <w:snapToGrid w:val="0"/>
              <w:spacing w:line="320" w:lineRule="exact"/>
              <w:ind w:firstLine="105" w:firstLineChars="50"/>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应用</w:t>
            </w:r>
          </w:p>
          <w:p>
            <w:pPr>
              <w:adjustRightInd w:val="0"/>
              <w:snapToGrid w:val="0"/>
              <w:spacing w:line="320" w:lineRule="exact"/>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1072" w:type="dxa"/>
            <w:vAlign w:val="center"/>
          </w:tcPr>
          <w:p>
            <w:pPr>
              <w:adjustRightInd w:val="0"/>
              <w:snapToGrid w:val="0"/>
              <w:spacing w:line="320" w:lineRule="exact"/>
              <w:ind w:firstLine="105" w:firstLineChars="50"/>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分析</w:t>
            </w:r>
          </w:p>
          <w:p>
            <w:pPr>
              <w:adjustRightInd w:val="0"/>
              <w:snapToGrid w:val="0"/>
              <w:spacing w:line="320" w:lineRule="exact"/>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1072" w:type="dxa"/>
            <w:vAlign w:val="center"/>
          </w:tcPr>
          <w:p>
            <w:pPr>
              <w:adjustRightInd w:val="0"/>
              <w:snapToGrid w:val="0"/>
              <w:spacing w:line="320" w:lineRule="exact"/>
              <w:ind w:firstLine="105" w:firstLineChars="50"/>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综合</w:t>
            </w:r>
          </w:p>
          <w:p>
            <w:pPr>
              <w:adjustRightInd w:val="0"/>
              <w:snapToGrid w:val="0"/>
              <w:spacing w:line="320" w:lineRule="exact"/>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c>
          <w:tcPr>
            <w:tcW w:w="1073" w:type="dxa"/>
            <w:vAlign w:val="center"/>
          </w:tcPr>
          <w:p>
            <w:pPr>
              <w:adjustRightInd w:val="0"/>
              <w:snapToGrid w:val="0"/>
              <w:spacing w:line="320" w:lineRule="exact"/>
              <w:ind w:firstLine="105" w:firstLineChars="50"/>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合计</w:t>
            </w:r>
          </w:p>
          <w:p>
            <w:pPr>
              <w:adjustRightInd w:val="0"/>
              <w:snapToGrid w:val="0"/>
              <w:spacing w:line="320" w:lineRule="exact"/>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第一章</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0</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0</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0</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第二章</w:t>
            </w:r>
          </w:p>
        </w:tc>
        <w:tc>
          <w:tcPr>
            <w:tcW w:w="1072" w:type="dxa"/>
            <w:vAlign w:val="top"/>
          </w:tcPr>
          <w:p>
            <w:pPr>
              <w:adjustRightInd w:val="0"/>
              <w:snapToGrid w:val="0"/>
              <w:spacing w:line="320" w:lineRule="exact"/>
              <w:ind w:firstLine="315" w:firstLineChars="15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第三章</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 </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6</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6</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第四章</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0</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第五章</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第六章</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第七章</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0</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第八章</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0</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0</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第九章</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0</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4</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第十章</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0</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0</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0</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0</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88"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合  计</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16</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22</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26</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16</w:t>
            </w:r>
          </w:p>
        </w:tc>
        <w:tc>
          <w:tcPr>
            <w:tcW w:w="1072"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20</w:t>
            </w:r>
          </w:p>
        </w:tc>
        <w:tc>
          <w:tcPr>
            <w:tcW w:w="1073" w:type="dxa"/>
            <w:vAlign w:val="top"/>
          </w:tcPr>
          <w:p>
            <w:pPr>
              <w:adjustRightInd w:val="0"/>
              <w:snapToGrid w:val="0"/>
              <w:spacing w:line="320" w:lineRule="exact"/>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100</w:t>
            </w:r>
          </w:p>
        </w:tc>
      </w:tr>
    </w:tbl>
    <w:p>
      <w:pPr>
        <w:adjustRightInd w:val="0"/>
        <w:snapToGrid w:val="0"/>
        <w:spacing w:line="320" w:lineRule="exact"/>
        <w:ind w:firstLine="413" w:firstLineChars="196"/>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 xml:space="preserve">十一、复习主要参考书 </w:t>
      </w:r>
    </w:p>
    <w:p>
      <w:pPr>
        <w:adjustRightInd w:val="0"/>
        <w:snapToGrid w:val="0"/>
        <w:spacing w:line="320" w:lineRule="exact"/>
        <w:ind w:firstLine="411" w:firstLineChars="196"/>
        <w:rPr>
          <w:rFonts w:ascii="Times New Roman" w:hAnsi="Times New Roman"/>
          <w:b/>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《会计学原理》，李月华、周一萍主编，华中科技大学出版社，2</w:t>
      </w:r>
      <w:r>
        <w:rPr>
          <w:rFonts w:hint="eastAsia" w:ascii="Times New Roman" w:hAnsi="Times New Roman"/>
          <w:color w:val="000000" w:themeColor="text1"/>
          <w:szCs w:val="21"/>
          <w:lang w:val="en-US" w:eastAsia="zh-CN"/>
          <w14:textFill>
            <w14:solidFill>
              <w14:schemeClr w14:val="tx1"/>
            </w14:solidFill>
          </w14:textFill>
        </w:rPr>
        <w:t>012</w:t>
      </w:r>
      <w:r>
        <w:rPr>
          <w:rFonts w:ascii="Times New Roman" w:hAnsi="Times New Roman"/>
          <w:color w:val="000000" w:themeColor="text1"/>
          <w:szCs w:val="21"/>
          <w14:textFill>
            <w14:solidFill>
              <w14:schemeClr w14:val="tx1"/>
            </w14:solidFill>
          </w14:textFill>
        </w:rPr>
        <w:t>年</w:t>
      </w:r>
      <w:r>
        <w:rPr>
          <w:rFonts w:hint="eastAsia" w:ascii="Times New Roman" w:hAnsi="Times New Roman"/>
          <w:color w:val="000000" w:themeColor="text1"/>
          <w:szCs w:val="21"/>
          <w:lang w:val="en-US" w:eastAsia="zh-CN"/>
          <w14:textFill>
            <w14:solidFill>
              <w14:schemeClr w14:val="tx1"/>
            </w14:solidFill>
          </w14:textFill>
        </w:rPr>
        <w:t>8月第2</w:t>
      </w:r>
      <w:r>
        <w:rPr>
          <w:rFonts w:ascii="Times New Roman" w:hAnsi="Times New Roman"/>
          <w:color w:val="000000" w:themeColor="text1"/>
          <w:szCs w:val="21"/>
          <w14:textFill>
            <w14:solidFill>
              <w14:schemeClr w14:val="tx1"/>
            </w14:solidFill>
          </w14:textFill>
        </w:rPr>
        <w:t>版。</w:t>
      </w:r>
    </w:p>
    <w:p/>
    <w:sectPr>
      <w:pgSz w:w="11906" w:h="16838"/>
      <w:pgMar w:top="1559" w:right="1417" w:bottom="1417" w:left="1559" w:header="851" w:footer="992" w:gutter="0"/>
      <w:paperSrc/>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方正大黑简体">
    <w:altName w:val="黑体"/>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F5AF0"/>
    <w:multiLevelType w:val="multilevel"/>
    <w:tmpl w:val="0B6F5AF0"/>
    <w:lvl w:ilvl="0" w:tentative="0">
      <w:start w:val="7"/>
      <w:numFmt w:val="japaneseCounting"/>
      <w:lvlText w:val="第%1章"/>
      <w:lvlJc w:val="left"/>
      <w:pPr>
        <w:tabs>
          <w:tab w:val="left" w:pos="735"/>
        </w:tabs>
        <w:ind w:left="735" w:hanging="73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2A497E34"/>
    <w:multiLevelType w:val="multilevel"/>
    <w:tmpl w:val="2A497E34"/>
    <w:lvl w:ilvl="0" w:tentative="0">
      <w:start w:val="3"/>
      <w:numFmt w:val="japaneseCounting"/>
      <w:lvlText w:val="第%1章"/>
      <w:lvlJc w:val="left"/>
      <w:pPr>
        <w:tabs>
          <w:tab w:val="left" w:pos="735"/>
        </w:tabs>
        <w:ind w:left="735" w:hanging="73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D47CB1"/>
    <w:rsid w:val="6FD47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after="120"/>
      <w:jc w:val="left"/>
    </w:pPr>
    <w:rPr>
      <w:rFonts w:cs="Times New Roman"/>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2019-05-12T03:32:00Z</dcterms:created>
  <dc:creator>快乐的鱼</dc:creator>
  <cp:lastModifiedBy>快乐的鱼</cp:lastModifiedBy>
  <dcterms:modified xsi:type="dcterms:W3CDTF">2019-05-12T03:33:04Z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2052-11.1.0.8584</vt:lpwstr>
  </property>
</Properties>
</file>