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ascii="Times New Roman" w:hAnsi="Times New Roman" w:eastAsia="新宋体"/>
          <w:color w:val="000000" w:themeColor="text1"/>
          <w:sz w:val="24"/>
          <w14:textFill>
            <w14:solidFill>
              <w14:schemeClr w14:val="tx1"/>
            </w14:solidFill>
          </w14:textFill>
        </w:rPr>
      </w:pPr>
      <w:r>
        <w:rPr>
          <w:rFonts w:ascii="Times New Roman" w:hAnsi="Times New Roman" w:eastAsia="新宋体"/>
          <w:color w:val="000000" w:themeColor="text1"/>
          <w:sz w:val="24"/>
          <w14:textFill>
            <w14:solidFill>
              <w14:schemeClr w14:val="tx1"/>
            </w14:solidFill>
          </w14:textFill>
        </w:rPr>
        <w:t>附件4：</w:t>
      </w:r>
    </w:p>
    <w:p>
      <w:pPr>
        <w:pStyle w:val="2"/>
        <w:spacing w:after="0" w:line="360" w:lineRule="auto"/>
        <w:jc w:val="center"/>
        <w:rPr>
          <w:rFonts w:ascii="Times New Roman" w:hAnsi="Times New Roman" w:eastAsia="方正大黑简体" w:cs="Times New Roman"/>
          <w:color w:val="000000" w:themeColor="text1"/>
          <w:sz w:val="28"/>
          <w:szCs w:val="28"/>
          <w14:textFill>
            <w14:solidFill>
              <w14:schemeClr w14:val="tx1"/>
            </w14:solidFill>
          </w14:textFill>
        </w:rPr>
      </w:pPr>
      <w:r>
        <w:rPr>
          <w:rFonts w:ascii="Times New Roman" w:hAnsi="Times New Roman" w:eastAsia="方正大黑简体" w:cs="Times New Roman"/>
          <w:color w:val="000000" w:themeColor="text1"/>
          <w:sz w:val="28"/>
          <w:szCs w:val="28"/>
          <w14:textFill>
            <w14:solidFill>
              <w14:schemeClr w14:val="tx1"/>
            </w14:solidFill>
          </w14:textFill>
        </w:rPr>
        <w:t>黄冈师范学院201</w:t>
      </w:r>
      <w:r>
        <w:rPr>
          <w:rFonts w:hint="eastAsia" w:ascii="Times New Roman" w:hAnsi="Times New Roman" w:eastAsia="方正大黑简体" w:cs="Times New Roman"/>
          <w:color w:val="000000" w:themeColor="text1"/>
          <w:sz w:val="28"/>
          <w:szCs w:val="28"/>
          <w:lang w:val="en-US" w:eastAsia="zh-CN"/>
          <w14:textFill>
            <w14:solidFill>
              <w14:schemeClr w14:val="tx1"/>
            </w14:solidFill>
          </w14:textFill>
        </w:rPr>
        <w:t>9</w:t>
      </w:r>
      <w:r>
        <w:rPr>
          <w:rFonts w:ascii="Times New Roman" w:hAnsi="Times New Roman" w:eastAsia="方正大黑简体" w:cs="Times New Roman"/>
          <w:color w:val="000000" w:themeColor="text1"/>
          <w:sz w:val="28"/>
          <w:szCs w:val="28"/>
          <w14:textFill>
            <w14:solidFill>
              <w14:schemeClr w14:val="tx1"/>
            </w14:solidFill>
          </w14:textFill>
        </w:rPr>
        <w:t>年普通专升本考试大纲</w:t>
      </w:r>
    </w:p>
    <w:p>
      <w:pPr>
        <w:pStyle w:val="2"/>
        <w:spacing w:after="0" w:line="360" w:lineRule="auto"/>
        <w:jc w:val="center"/>
        <w:rPr>
          <w:rFonts w:ascii="Times New Roman" w:hAnsi="Times New Roman" w:eastAsia="方正大黑简体" w:cs="Times New Roman"/>
          <w:color w:val="000000" w:themeColor="text1"/>
          <w:sz w:val="28"/>
          <w:szCs w:val="28"/>
          <w14:textFill>
            <w14:solidFill>
              <w14:schemeClr w14:val="tx1"/>
            </w14:solidFill>
          </w14:textFill>
        </w:rPr>
      </w:pPr>
    </w:p>
    <w:p>
      <w:pPr>
        <w:numPr>
          <w:ilvl w:val="0"/>
          <w:numId w:val="1"/>
        </w:numPr>
        <w:spacing w:line="320" w:lineRule="exact"/>
        <w:rPr>
          <w:rFonts w:ascii="Times New Roman" w:hAnsi="Times New Roman" w:eastAsia="黑体"/>
          <w:b/>
          <w:color w:val="000000" w:themeColor="text1"/>
          <w:szCs w:val="21"/>
          <w14:textFill>
            <w14:solidFill>
              <w14:schemeClr w14:val="tx1"/>
            </w14:solidFill>
          </w14:textFill>
        </w:rPr>
      </w:pPr>
      <w:bookmarkStart w:id="0" w:name="_GoBack"/>
      <w:r>
        <w:rPr>
          <w:rFonts w:hint="eastAsia" w:ascii="Times New Roman" w:hAnsi="Times New Roman" w:eastAsia="黑体"/>
          <w:b/>
          <w:color w:val="000000" w:themeColor="text1"/>
          <w:szCs w:val="21"/>
          <w:lang w:eastAsia="zh-CN"/>
          <w14:textFill>
            <w14:solidFill>
              <w14:schemeClr w14:val="tx1"/>
            </w14:solidFill>
          </w14:textFill>
        </w:rPr>
        <w:t>法学</w:t>
      </w:r>
      <w:r>
        <w:rPr>
          <w:rFonts w:ascii="Times New Roman" w:hAnsi="Times New Roman" w:eastAsia="黑体"/>
          <w:b/>
          <w:color w:val="000000" w:themeColor="text1"/>
          <w:szCs w:val="21"/>
          <w14:textFill>
            <w14:solidFill>
              <w14:schemeClr w14:val="tx1"/>
            </w14:solidFill>
          </w14:textFill>
        </w:rPr>
        <w:t>专业《专业综合》考试大纲</w:t>
      </w:r>
    </w:p>
    <w:bookmarkEnd w:id="0"/>
    <w:p>
      <w:pPr>
        <w:numPr>
          <w:ilvl w:val="0"/>
          <w:numId w:val="0"/>
        </w:numPr>
        <w:spacing w:line="320" w:lineRule="exact"/>
        <w:ind w:firstLine="211" w:firstLineChars="1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《民法总论》（总分200分）</w:t>
      </w:r>
    </w:p>
    <w:p>
      <w:pPr>
        <w:spacing w:line="320" w:lineRule="exac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一、考核目标 </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《民法总论》是民法学的重要组成部分，是法律专业的一门核心课程、必修课程。 通过《民法总论》课程的考核，一是检验学生对民法的基本概念、基本原理、基本知识掌握的正确程度和熟练程度；二是检验学生运用所学的民法基本理论分析问题和解决实际问题的能力。</w:t>
      </w:r>
    </w:p>
    <w:p>
      <w:pPr>
        <w:spacing w:line="320" w:lineRule="exac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二、考核内容 </w:t>
      </w:r>
    </w:p>
    <w:p>
      <w:pPr>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第一章 导论 </w:t>
      </w:r>
    </w:p>
    <w:p>
      <w:pPr>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【考核内容】 </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1．民法的概念及民法的调整对象 </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2．民法的渊源 </w:t>
      </w:r>
    </w:p>
    <w:p>
      <w:pPr>
        <w:spacing w:line="320" w:lineRule="exact"/>
        <w:ind w:firstLine="210" w:firstLineChars="1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3．民法的本质</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4．民法的基本原则 </w:t>
      </w:r>
    </w:p>
    <w:p>
      <w:pPr>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【考核要求】 </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1．掌握民法的含义及掌握我国民法的调整对象</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2．掌握民法渊源的含义及我国民法的渊源</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3．掌握民法的本质</w:t>
      </w:r>
    </w:p>
    <w:p>
      <w:pPr>
        <w:spacing w:line="320" w:lineRule="exact"/>
        <w:ind w:firstLine="210" w:firstLineChars="1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4．熟练掌握我国民法总则规定的基本原则 </w:t>
      </w:r>
    </w:p>
    <w:p>
      <w:pPr>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第二章 民事法律关系 </w:t>
      </w:r>
    </w:p>
    <w:p>
      <w:pPr>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【考核内容】</w:t>
      </w:r>
    </w:p>
    <w:p>
      <w:pPr>
        <w:tabs>
          <w:tab w:val="left" w:pos="630"/>
        </w:tabs>
        <w:spacing w:line="320" w:lineRule="exact"/>
        <w:ind w:firstLine="525" w:firstLineChars="2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1．民事法律关系的含义、特征 </w:t>
      </w:r>
    </w:p>
    <w:p>
      <w:pPr>
        <w:tabs>
          <w:tab w:val="left" w:pos="630"/>
        </w:tabs>
        <w:spacing w:line="320" w:lineRule="exact"/>
        <w:ind w:firstLine="315" w:firstLineChars="1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2．民事法律关系的构成要素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3．民事法律关系变动的原因-法律事实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4．民事权利的分类</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 【考核要求】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1．掌握民事法律关系的含义及其特征 </w:t>
      </w:r>
    </w:p>
    <w:p>
      <w:pPr>
        <w:tabs>
          <w:tab w:val="left" w:pos="630"/>
        </w:tabs>
        <w:spacing w:line="320" w:lineRule="exact"/>
        <w:ind w:left="1155" w:hanging="1155" w:hangingChars="5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2．掌握民事法律关系的构成三要素，民事法律关系的主体，民事法律关系的内容，民事法律关系的客体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3．掌握民事法律事实的概念、类型</w:t>
      </w:r>
    </w:p>
    <w:p>
      <w:pPr>
        <w:tabs>
          <w:tab w:val="left" w:pos="630"/>
        </w:tabs>
        <w:spacing w:line="320" w:lineRule="exact"/>
        <w:ind w:firstLine="105" w:firstLineChars="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4．掌握民事权利、民事义务、民事责任的概念</w:t>
      </w:r>
    </w:p>
    <w:p>
      <w:pPr>
        <w:tabs>
          <w:tab w:val="left" w:pos="630"/>
        </w:tabs>
        <w:spacing w:line="320" w:lineRule="exact"/>
        <w:ind w:firstLine="105" w:firstLineChars="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5．掌握民事权利的类型 </w:t>
      </w:r>
    </w:p>
    <w:p>
      <w:pPr>
        <w:tabs>
          <w:tab w:val="left" w:pos="630"/>
        </w:tabs>
        <w:spacing w:line="320" w:lineRule="exact"/>
        <w:ind w:firstLine="632" w:firstLineChars="3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第三章 民事主体-自然人 </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【考核内容】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1．自然人的民事权利能力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2．自然人的民事行为能力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3．监护 </w:t>
      </w:r>
    </w:p>
    <w:p>
      <w:pPr>
        <w:tabs>
          <w:tab w:val="left" w:pos="630"/>
        </w:tabs>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4．宣告失踪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5．宣告死亡 </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【考核要求】 </w:t>
      </w:r>
    </w:p>
    <w:p>
      <w:pPr>
        <w:tabs>
          <w:tab w:val="left" w:pos="630"/>
        </w:tabs>
        <w:spacing w:line="320" w:lineRule="exact"/>
        <w:ind w:left="1260" w:hanging="1260" w:hangingChars="6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1．掌握民事权利能力的概念，自然人民事权利能力的开始和终止</w:t>
      </w:r>
    </w:p>
    <w:p>
      <w:pPr>
        <w:tabs>
          <w:tab w:val="left" w:pos="630"/>
        </w:tabs>
        <w:spacing w:line="320" w:lineRule="exact"/>
        <w:ind w:left="1260" w:hanging="1260" w:hangingChars="6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2．掌握我国民法总则关于自然人民事行为能力的划分的依据和具体的类型</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3．掌握监护的概念、目的和意义、掌握监护人的职责、监护关系的终止</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4．掌握宣告失踪的概念、条件、程序和宣告失踪的法律后果</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5．掌握宣告死亡的概念、条件、程序和宣告死亡的法律后果</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6．掌握死亡宣告的撤销及其被宣告死亡人重新出现的法律效力</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  第四章  民事主体-法人、非法人组织</w:t>
      </w:r>
    </w:p>
    <w:p>
      <w:pPr>
        <w:tabs>
          <w:tab w:val="left" w:pos="630"/>
        </w:tabs>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【考核内容】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1．法人的概念、特征、分类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2．法人的成立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3．法人的民事权利能力和民事行为能力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4．法人的消灭</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5．法人的民事责任的承担</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6．非法人组织</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 【考核要求】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1．掌握法人的概念、特征和法人的分类</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2．掌握法人组织成立的条件和程序    </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3．掌握法人的民事权利能力、民事行为能力的特点</w:t>
      </w:r>
    </w:p>
    <w:p>
      <w:pPr>
        <w:tabs>
          <w:tab w:val="left" w:pos="630"/>
        </w:tabs>
        <w:spacing w:line="320" w:lineRule="exact"/>
        <w:ind w:left="1155" w:hanging="1155" w:hangingChars="5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4．了解法人机关的种类、法定代表人、法人的住所</w:t>
      </w:r>
    </w:p>
    <w:p>
      <w:pPr>
        <w:tabs>
          <w:tab w:val="left" w:pos="630"/>
        </w:tabs>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5．掌握法人解散的原因</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6．掌握法人的民事责任的承担</w:t>
      </w:r>
    </w:p>
    <w:p>
      <w:pPr>
        <w:tabs>
          <w:tab w:val="left" w:pos="630"/>
        </w:tabs>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7．掌握非法人组织的要件和类型</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 第五章 民事权利客体</w:t>
      </w:r>
    </w:p>
    <w:p>
      <w:pPr>
        <w:tabs>
          <w:tab w:val="left" w:pos="63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ab/>
      </w:r>
      <w:r>
        <w:rPr>
          <w:rFonts w:ascii="Times New Roman" w:hAnsi="Times New Roman"/>
          <w:b/>
          <w:color w:val="000000" w:themeColor="text1"/>
          <w:szCs w:val="21"/>
          <w14:textFill>
            <w14:solidFill>
              <w14:schemeClr w14:val="tx1"/>
            </w14:solidFill>
          </w14:textFill>
        </w:rPr>
        <w:t xml:space="preserve">【考核内容】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1．物的意义</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2．物的概念之扩张</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3．物的分类</w:t>
      </w:r>
    </w:p>
    <w:p>
      <w:pPr>
        <w:tabs>
          <w:tab w:val="left" w:pos="630"/>
        </w:tabs>
        <w:spacing w:line="320" w:lineRule="exact"/>
        <w:ind w:firstLine="527" w:firstLineChars="25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【考核要求】</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1．掌握物的意义（特征） </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2．掌握物的概念的扩张</w:t>
      </w:r>
    </w:p>
    <w:p>
      <w:pPr>
        <w:tabs>
          <w:tab w:val="left" w:pos="63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3．掌握物的物的分类的具体类型、分类的根据及其法律意义 </w:t>
      </w:r>
    </w:p>
    <w:p>
      <w:pPr>
        <w:spacing w:line="320" w:lineRule="exact"/>
        <w:ind w:firstLine="632" w:firstLineChars="3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第六章 法律行为 </w:t>
      </w:r>
    </w:p>
    <w:p>
      <w:pPr>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【考核内容】 </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1．民事法律行为的分类 </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2．民事法律行为的要件</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3．意思表示 </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4．法律行为的无效</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5．法律行为的可撤销 </w:t>
      </w:r>
    </w:p>
    <w:p>
      <w:pPr>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6．效力待定的法律行为</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7．附条件的民事法律行为和附期限的民事法律行为 </w:t>
      </w:r>
    </w:p>
    <w:p>
      <w:pPr>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【考核要求】 </w:t>
      </w:r>
    </w:p>
    <w:p>
      <w:pPr>
        <w:spacing w:line="320" w:lineRule="exact"/>
        <w:ind w:left="1214" w:leftChars="228" w:hanging="735" w:hangingChars="3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1．掌握法律行为的具体分类 </w:t>
      </w:r>
    </w:p>
    <w:p>
      <w:pPr>
        <w:spacing w:line="320" w:lineRule="exact"/>
        <w:ind w:firstLine="420" w:firstLineChars="2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2．掌握意思表示的含义，意思表示的生效时间，意思与表示不一致，意思表示不自由</w:t>
      </w:r>
    </w:p>
    <w:p>
      <w:pPr>
        <w:tabs>
          <w:tab w:val="left" w:pos="69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b/>
      </w:r>
      <w:r>
        <w:rPr>
          <w:rFonts w:ascii="Times New Roman" w:hAnsi="Times New Roman"/>
          <w:color w:val="000000" w:themeColor="text1"/>
          <w:szCs w:val="21"/>
          <w14:textFill>
            <w14:solidFill>
              <w14:schemeClr w14:val="tx1"/>
            </w14:solidFill>
          </w14:textFill>
        </w:rPr>
        <w:t xml:space="preserve"> 3．掌握法律行为的成立条件及生效条件 </w:t>
      </w:r>
    </w:p>
    <w:p>
      <w:pPr>
        <w:tabs>
          <w:tab w:val="left" w:pos="810"/>
        </w:tabs>
        <w:spacing w:line="320" w:lineRule="exact"/>
        <w:ind w:left="945" w:hanging="945" w:hangingChars="4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4．掌握无效的民事行为，可撤销的民事行为，效力待定的民事行为</w:t>
      </w:r>
    </w:p>
    <w:p>
      <w:pPr>
        <w:tabs>
          <w:tab w:val="left" w:pos="810"/>
        </w:tabs>
        <w:spacing w:line="320" w:lineRule="exact"/>
        <w:ind w:left="1260" w:hanging="1260" w:hangingChars="6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（无效民事行为的种类，可撤销民事行为的种类，效力待定民事行为的种类，民事行为被确认无效或被撤销后的后果）</w:t>
      </w:r>
    </w:p>
    <w:p>
      <w:pPr>
        <w:tabs>
          <w:tab w:val="left" w:pos="810"/>
        </w:tabs>
        <w:spacing w:line="320" w:lineRule="exact"/>
        <w:ind w:left="1260" w:hanging="1260" w:hangingChars="6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5．掌握附条件的民事法律行为和附期限的民事法律行为中对条件和期限的要求   </w:t>
      </w:r>
    </w:p>
    <w:p>
      <w:pPr>
        <w:tabs>
          <w:tab w:val="left" w:pos="810"/>
        </w:tabs>
        <w:spacing w:line="320" w:lineRule="exact"/>
        <w:ind w:firstLine="738" w:firstLineChars="35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第七章 代理 </w:t>
      </w:r>
    </w:p>
    <w:p>
      <w:pPr>
        <w:tabs>
          <w:tab w:val="left" w:pos="81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【考核内容】 </w:t>
      </w:r>
    </w:p>
    <w:p>
      <w:pPr>
        <w:tabs>
          <w:tab w:val="left" w:pos="810"/>
        </w:tabs>
        <w:spacing w:line="320" w:lineRule="exact"/>
        <w:ind w:firstLine="525" w:firstLineChars="2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1．代理的概念和特征 </w:t>
      </w:r>
    </w:p>
    <w:p>
      <w:pPr>
        <w:tabs>
          <w:tab w:val="left" w:pos="810"/>
        </w:tabs>
        <w:spacing w:line="320" w:lineRule="exact"/>
        <w:ind w:firstLine="525" w:firstLineChars="2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2．代理的分类</w:t>
      </w:r>
    </w:p>
    <w:p>
      <w:pPr>
        <w:tabs>
          <w:tab w:val="left" w:pos="810"/>
        </w:tabs>
        <w:spacing w:line="320" w:lineRule="exact"/>
        <w:ind w:firstLine="735" w:firstLineChars="3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3．代理行为</w:t>
      </w:r>
    </w:p>
    <w:p>
      <w:pPr>
        <w:tabs>
          <w:tab w:val="left" w:pos="810"/>
        </w:tabs>
        <w:spacing w:line="320" w:lineRule="exact"/>
        <w:ind w:firstLine="735" w:firstLineChars="3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4．代理权的发生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5．无权代理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6．表见代理 </w:t>
      </w:r>
    </w:p>
    <w:p>
      <w:pPr>
        <w:tabs>
          <w:tab w:val="left" w:pos="81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【考核要求】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1．掌握代理的概念、特征和代理的适用范围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2．了解代理与类似概念的区别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3．掌握代理行为的范围、成立要件、生效要件</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4．掌握代理权发生的原因、代理权的限制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5．掌握无权代理的发生原因、效力</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6．掌握表见代理的要件</w:t>
      </w:r>
    </w:p>
    <w:p>
      <w:pPr>
        <w:tabs>
          <w:tab w:val="left" w:pos="810"/>
        </w:tabs>
        <w:spacing w:line="320" w:lineRule="exact"/>
        <w:ind w:firstLine="738" w:firstLineChars="35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第八章 诉讼时效</w:t>
      </w:r>
    </w:p>
    <w:p>
      <w:pPr>
        <w:tabs>
          <w:tab w:val="left" w:pos="810"/>
        </w:tabs>
        <w:spacing w:line="320" w:lineRule="exact"/>
        <w:ind w:firstLine="632" w:firstLineChars="3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【考核内容】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1．时效制度的概念、功能、取得时效和诉讼时效的异同  </w:t>
      </w:r>
    </w:p>
    <w:p>
      <w:pPr>
        <w:tabs>
          <w:tab w:val="left" w:pos="810"/>
        </w:tabs>
        <w:spacing w:line="320" w:lineRule="exact"/>
        <w:ind w:firstLine="735" w:firstLineChars="3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2．除斥期间 </w:t>
      </w:r>
    </w:p>
    <w:p>
      <w:pPr>
        <w:tabs>
          <w:tab w:val="left" w:pos="810"/>
        </w:tabs>
        <w:spacing w:line="320" w:lineRule="exact"/>
        <w:ind w:firstLine="735" w:firstLineChars="3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3．诉讼时效的效力</w:t>
      </w:r>
    </w:p>
    <w:p>
      <w:pPr>
        <w:tabs>
          <w:tab w:val="left" w:pos="810"/>
        </w:tabs>
        <w:spacing w:line="320" w:lineRule="exact"/>
        <w:ind w:firstLine="525" w:firstLineChars="25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4．诉讼时效的起算、中止、中断和延长 </w:t>
      </w:r>
    </w:p>
    <w:p>
      <w:pPr>
        <w:tabs>
          <w:tab w:val="left" w:pos="810"/>
        </w:tabs>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【考核要求】 </w:t>
      </w:r>
    </w:p>
    <w:p>
      <w:pPr>
        <w:tabs>
          <w:tab w:val="left" w:pos="810"/>
        </w:tabs>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1．掌握取得时效和诉讼时效的异同 </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2．掌握诉讼时效与除斥期间的区别</w:t>
      </w:r>
    </w:p>
    <w:p>
      <w:pPr>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3．掌握诉讼时效的效力</w:t>
      </w:r>
    </w:p>
    <w:p>
      <w:pPr>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4．掌握的起算、中止、中断和延长</w:t>
      </w:r>
    </w:p>
    <w:p>
      <w:pPr>
        <w:spacing w:line="320" w:lineRule="exact"/>
        <w:jc w:val="left"/>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 xml:space="preserve">三、考试方式 </w:t>
      </w:r>
    </w:p>
    <w:p>
      <w:pPr>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考核方式：考试</w:t>
      </w:r>
    </w:p>
    <w:p>
      <w:pPr>
        <w:spacing w:line="320" w:lineRule="exact"/>
        <w:ind w:firstLine="630" w:firstLineChars="300"/>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考核类型：闭卷</w:t>
      </w:r>
    </w:p>
    <w:p>
      <w:pPr>
        <w:spacing w:line="320" w:lineRule="exact"/>
        <w:ind w:firstLine="465"/>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四、考试题型</w:t>
      </w:r>
    </w:p>
    <w:p>
      <w:pPr>
        <w:spacing w:line="320" w:lineRule="exact"/>
        <w:ind w:firstLine="465"/>
        <w:jc w:val="left"/>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单项选择题、不定项选择题、简述题、论述题、案例分析题</w:t>
      </w:r>
    </w:p>
    <w:p>
      <w:pPr>
        <w:spacing w:line="320" w:lineRule="exact"/>
        <w:ind w:firstLine="422" w:firstLineChars="200"/>
        <w:jc w:val="lef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五、参考教材 </w:t>
      </w:r>
    </w:p>
    <w:p>
      <w:pPr>
        <w:spacing w:line="320" w:lineRule="exact"/>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梁慧星：《民法总论》，法律出版社，2017年8月第五版</w:t>
      </w:r>
    </w:p>
    <w:p>
      <w:pPr>
        <w:autoSpaceDE w:val="0"/>
        <w:autoSpaceDN w:val="0"/>
        <w:adjustRightInd w:val="0"/>
        <w:spacing w:line="320" w:lineRule="exact"/>
        <w:rPr>
          <w:rFonts w:ascii="Times New Roman" w:hAnsi="Times New Roman" w:eastAsia="黑体"/>
          <w:b/>
          <w:color w:val="000000" w:themeColor="text1"/>
          <w:szCs w:val="21"/>
          <w14:textFill>
            <w14:solidFill>
              <w14:schemeClr w14:val="tx1"/>
            </w14:solidFill>
          </w14:textFill>
        </w:rPr>
      </w:pPr>
    </w:p>
    <w:p/>
    <w:sectPr>
      <w:pgSz w:w="11906" w:h="16838"/>
      <w:pgMar w:top="1559" w:right="1417" w:bottom="1417" w:left="155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方正大黑简体">
    <w:altName w:val="黑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169D59"/>
    <w:multiLevelType w:val="singleLevel"/>
    <w:tmpl w:val="EC169D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972A4"/>
    <w:rsid w:val="55097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after="120"/>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2019-05-12T03:33:00Z</dcterms:created>
  <dc:creator>快乐的鱼</dc:creator>
  <cp:lastModifiedBy>快乐的鱼</cp:lastModifiedBy>
  <dcterms:modified xsi:type="dcterms:W3CDTF">2019-05-12T03:37:07Z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